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D3B" w:rsidRPr="00443766" w:rsidRDefault="00C36D3B" w:rsidP="003C6C5C">
      <w:pPr>
        <w:pStyle w:val="NoSpacing"/>
        <w:rPr>
          <w:sz w:val="21"/>
          <w:szCs w:val="21"/>
        </w:rPr>
      </w:pPr>
    </w:p>
    <w:p w:rsidR="00C078C9" w:rsidRPr="006A7B85" w:rsidRDefault="00C36D3B" w:rsidP="003C6C5C">
      <w:pPr>
        <w:pStyle w:val="NoSpacing"/>
        <w:rPr>
          <w:b/>
          <w:sz w:val="28"/>
          <w:szCs w:val="21"/>
          <w:u w:val="single"/>
        </w:rPr>
      </w:pPr>
      <w:r w:rsidRPr="006A7B85">
        <w:rPr>
          <w:b/>
          <w:sz w:val="28"/>
          <w:szCs w:val="21"/>
          <w:u w:val="single"/>
        </w:rPr>
        <w:t xml:space="preserve">Antibiotic use and </w:t>
      </w:r>
      <w:r w:rsidR="00711F79">
        <w:rPr>
          <w:b/>
          <w:sz w:val="28"/>
          <w:szCs w:val="21"/>
          <w:u w:val="single"/>
        </w:rPr>
        <w:t>livestock production</w:t>
      </w:r>
      <w:r w:rsidRPr="006A7B85">
        <w:rPr>
          <w:b/>
          <w:sz w:val="28"/>
          <w:szCs w:val="21"/>
          <w:u w:val="single"/>
        </w:rPr>
        <w:t xml:space="preserve"> systems</w:t>
      </w:r>
    </w:p>
    <w:p w:rsidR="00C36D3B" w:rsidRPr="006A7B85" w:rsidRDefault="00C36D3B" w:rsidP="00C36D3B">
      <w:pPr>
        <w:pStyle w:val="ListParagraph"/>
        <w:rPr>
          <w:sz w:val="21"/>
          <w:szCs w:val="21"/>
        </w:rPr>
      </w:pPr>
    </w:p>
    <w:p w:rsidR="00936CD3" w:rsidRPr="003600BB" w:rsidRDefault="00936CD3" w:rsidP="003600BB">
      <w:pPr>
        <w:rPr>
          <w:i/>
          <w:sz w:val="21"/>
          <w:szCs w:val="21"/>
        </w:rPr>
      </w:pPr>
      <w:r w:rsidRPr="003600BB">
        <w:rPr>
          <w:sz w:val="21"/>
          <w:szCs w:val="21"/>
        </w:rPr>
        <w:t>‘</w:t>
      </w:r>
      <w:r w:rsidRPr="003600BB">
        <w:rPr>
          <w:i/>
          <w:sz w:val="21"/>
          <w:szCs w:val="21"/>
        </w:rPr>
        <w:t>Irrational and inappropriate use of antimicrobials is by far the biggest driver of drug resistance…And this includes the massive routine use of antimicrobials, to promote growth and for prophylaxis, in the industrialized producti</w:t>
      </w:r>
      <w:bookmarkStart w:id="0" w:name="_GoBack"/>
      <w:bookmarkEnd w:id="0"/>
      <w:r w:rsidRPr="003600BB">
        <w:rPr>
          <w:i/>
          <w:sz w:val="21"/>
          <w:szCs w:val="21"/>
        </w:rPr>
        <w:t xml:space="preserve">on of food. In several parts of the world, more than 50% in tonnage of all antimicrobial production is used in food </w:t>
      </w:r>
      <w:r w:rsidR="00E21E02" w:rsidRPr="003600BB">
        <w:rPr>
          <w:i/>
          <w:sz w:val="21"/>
          <w:szCs w:val="21"/>
        </w:rPr>
        <w:t>producing animals…. E</w:t>
      </w:r>
      <w:r w:rsidRPr="003600BB">
        <w:rPr>
          <w:i/>
          <w:sz w:val="21"/>
          <w:szCs w:val="21"/>
        </w:rPr>
        <w:t xml:space="preserve">vidence shows that pathogens that have developed resistance to drugs in animals can be transmitted to humans.’ </w:t>
      </w:r>
      <w:r w:rsidRPr="003600BB">
        <w:rPr>
          <w:b/>
          <w:i/>
          <w:sz w:val="21"/>
          <w:szCs w:val="21"/>
        </w:rPr>
        <w:t>World Health Organization, 2</w:t>
      </w:r>
      <w:r w:rsidR="003600BB">
        <w:rPr>
          <w:b/>
          <w:i/>
          <w:sz w:val="21"/>
          <w:szCs w:val="21"/>
        </w:rPr>
        <w:t>011</w:t>
      </w:r>
    </w:p>
    <w:p w:rsidR="00E21E02" w:rsidRDefault="00936CD3" w:rsidP="003600BB">
      <w:pPr>
        <w:rPr>
          <w:i/>
          <w:sz w:val="21"/>
          <w:szCs w:val="21"/>
        </w:rPr>
      </w:pPr>
      <w:r w:rsidRPr="00443766">
        <w:rPr>
          <w:i/>
          <w:sz w:val="21"/>
          <w:szCs w:val="21"/>
        </w:rPr>
        <w:t>‘</w:t>
      </w:r>
      <w:r w:rsidR="00443766" w:rsidRPr="00443766">
        <w:rPr>
          <w:rFonts w:cs="Arial"/>
          <w:i/>
          <w:color w:val="212121"/>
          <w:sz w:val="21"/>
          <w:szCs w:val="21"/>
        </w:rPr>
        <w:t>In animal production systems with high density of animals or poor biosecurity, development and spread of infectious diseases is favoured, which leads more frequently to antimicrobial treatment and prevention of those diseases. This provides favourable conditions for selection, spread and persistence of antimicrobial-resistant bacteria. Some of these bacteria are capable of causing infections in animals and if zoonotic also in humans. Bacteria of animal origin can also be a source for transmission of resistance genes to human and animal pathogens”.</w:t>
      </w:r>
      <w:r w:rsidR="00443766">
        <w:rPr>
          <w:rFonts w:cs="Arial"/>
          <w:i/>
          <w:color w:val="212121"/>
          <w:sz w:val="21"/>
          <w:szCs w:val="21"/>
        </w:rPr>
        <w:t xml:space="preserve"> </w:t>
      </w:r>
      <w:r w:rsidRPr="003600BB">
        <w:rPr>
          <w:b/>
          <w:i/>
          <w:sz w:val="21"/>
          <w:szCs w:val="21"/>
        </w:rPr>
        <w:t>Eu</w:t>
      </w:r>
      <w:r w:rsidR="003600BB">
        <w:rPr>
          <w:b/>
          <w:i/>
          <w:sz w:val="21"/>
          <w:szCs w:val="21"/>
        </w:rPr>
        <w:t>ropean Medicines Agency, 2006</w:t>
      </w:r>
      <w:r w:rsidRPr="003600BB">
        <w:rPr>
          <w:i/>
          <w:sz w:val="21"/>
          <w:szCs w:val="21"/>
        </w:rPr>
        <w:t xml:space="preserve"> </w:t>
      </w:r>
    </w:p>
    <w:p w:rsidR="00746B14" w:rsidRPr="003600BB" w:rsidRDefault="00746B14" w:rsidP="00746B14">
      <w:pPr>
        <w:pStyle w:val="NoSpacing"/>
      </w:pPr>
    </w:p>
    <w:p w:rsidR="005C0271" w:rsidRPr="005C0271" w:rsidRDefault="005C0271" w:rsidP="005C0271">
      <w:pPr>
        <w:shd w:val="clear" w:color="auto" w:fill="FFFFFF"/>
        <w:spacing w:after="0" w:line="240" w:lineRule="auto"/>
        <w:rPr>
          <w:rFonts w:eastAsia="Times New Roman" w:cs="Segoe UI"/>
          <w:b/>
          <w:color w:val="212121"/>
          <w:sz w:val="21"/>
          <w:szCs w:val="21"/>
          <w:lang w:eastAsia="en-GB"/>
        </w:rPr>
      </w:pPr>
      <w:r w:rsidRPr="005C0271">
        <w:rPr>
          <w:rFonts w:eastAsia="Times New Roman" w:cs="Segoe UI"/>
          <w:b/>
          <w:color w:val="212121"/>
          <w:sz w:val="21"/>
          <w:szCs w:val="21"/>
          <w:lang w:eastAsia="en-GB"/>
        </w:rPr>
        <w:t>Intensive farming –</w:t>
      </w:r>
      <w:r>
        <w:rPr>
          <w:rFonts w:eastAsia="Times New Roman" w:cs="Segoe UI"/>
          <w:b/>
          <w:color w:val="212121"/>
          <w:sz w:val="21"/>
          <w:szCs w:val="21"/>
          <w:lang w:eastAsia="en-GB"/>
        </w:rPr>
        <w:t xml:space="preserve"> link</w:t>
      </w:r>
      <w:r w:rsidRPr="005C0271">
        <w:rPr>
          <w:rFonts w:eastAsia="Times New Roman" w:cs="Segoe UI"/>
          <w:b/>
          <w:color w:val="212121"/>
          <w:sz w:val="21"/>
          <w:szCs w:val="21"/>
          <w:lang w:eastAsia="en-GB"/>
        </w:rPr>
        <w:t xml:space="preserve"> to poor animal health and increased stress</w:t>
      </w:r>
    </w:p>
    <w:p w:rsidR="005C0271" w:rsidRPr="00D97F68" w:rsidRDefault="005C0271" w:rsidP="005C0271">
      <w:pPr>
        <w:pStyle w:val="ListParagraph"/>
        <w:shd w:val="clear" w:color="auto" w:fill="FFFFFF"/>
        <w:spacing w:after="0" w:line="240" w:lineRule="auto"/>
        <w:ind w:left="360"/>
        <w:rPr>
          <w:rFonts w:eastAsia="Times New Roman" w:cs="Segoe UI"/>
          <w:b/>
          <w:color w:val="212121"/>
          <w:sz w:val="21"/>
          <w:szCs w:val="21"/>
          <w:lang w:eastAsia="en-GB"/>
        </w:rPr>
      </w:pPr>
    </w:p>
    <w:p w:rsidR="005C0271" w:rsidRPr="00D97F68" w:rsidRDefault="005C0271" w:rsidP="005C0271">
      <w:pPr>
        <w:pStyle w:val="NoSpacing"/>
        <w:numPr>
          <w:ilvl w:val="0"/>
          <w:numId w:val="1"/>
        </w:numPr>
        <w:rPr>
          <w:rFonts w:cs="Arial"/>
          <w:sz w:val="21"/>
          <w:szCs w:val="21"/>
          <w:lang w:val="en"/>
        </w:rPr>
      </w:pPr>
      <w:r w:rsidRPr="00D97F68">
        <w:rPr>
          <w:sz w:val="21"/>
          <w:szCs w:val="21"/>
          <w:shd w:val="clear" w:color="auto" w:fill="FFFFFF"/>
        </w:rPr>
        <w:t>Animals are more susceptible to disease when stressed. Stress releases hormones such as cortisol in animals which can reduce immunity by compromising the immune system. Stress has also been linked to increased salmonella risk in pigs and campylobacter in chickens</w:t>
      </w:r>
      <w:r w:rsidRPr="00D97F68">
        <w:rPr>
          <w:rStyle w:val="FootnoteReference"/>
          <w:sz w:val="21"/>
          <w:szCs w:val="21"/>
          <w:shd w:val="clear" w:color="auto" w:fill="FFFFFF"/>
        </w:rPr>
        <w:footnoteReference w:id="1"/>
      </w:r>
      <w:r w:rsidRPr="00D97F68">
        <w:rPr>
          <w:sz w:val="21"/>
          <w:szCs w:val="21"/>
          <w:shd w:val="clear" w:color="auto" w:fill="FFFFFF"/>
        </w:rPr>
        <w:t xml:space="preserve">.   </w:t>
      </w:r>
    </w:p>
    <w:p w:rsidR="005C0271" w:rsidRPr="00D97F68" w:rsidRDefault="005C0271" w:rsidP="005C0271">
      <w:pPr>
        <w:pStyle w:val="NoSpacing"/>
        <w:ind w:left="360"/>
        <w:rPr>
          <w:rFonts w:cs="Arial"/>
          <w:sz w:val="21"/>
          <w:szCs w:val="21"/>
          <w:lang w:val="en"/>
        </w:rPr>
      </w:pPr>
    </w:p>
    <w:p w:rsidR="005C0271" w:rsidRDefault="005C0271" w:rsidP="005C0271">
      <w:pPr>
        <w:pStyle w:val="NoSpacing"/>
        <w:numPr>
          <w:ilvl w:val="0"/>
          <w:numId w:val="1"/>
        </w:numPr>
        <w:rPr>
          <w:rFonts w:cs="Arial"/>
          <w:sz w:val="21"/>
          <w:szCs w:val="21"/>
          <w:lang w:val="en"/>
        </w:rPr>
      </w:pPr>
      <w:r w:rsidRPr="00D97F68">
        <w:rPr>
          <w:sz w:val="21"/>
          <w:szCs w:val="21"/>
          <w:shd w:val="clear" w:color="auto" w:fill="FFFFFF"/>
        </w:rPr>
        <w:t>A primary example is respiratory problems in cattle (</w:t>
      </w:r>
      <w:r w:rsidRPr="00D97F68">
        <w:rPr>
          <w:rFonts w:cs="Arial"/>
          <w:sz w:val="21"/>
          <w:szCs w:val="21"/>
          <w:lang w:val="en"/>
        </w:rPr>
        <w:t>‘shipping fever’). Ever present bacteria in the respiratory tract cause the disease when animals come under stress. Shipping fever is linked with Bovine Respiratory Disease, the most costly disease to the US cattle industry. US Cattle can be trucked thousands of miles to feedlots, frequently resulting in immune compromise and disease.</w:t>
      </w:r>
    </w:p>
    <w:p w:rsidR="005C0271" w:rsidRPr="00443766" w:rsidRDefault="005C0271" w:rsidP="005C0271">
      <w:pPr>
        <w:pStyle w:val="NoSpacing"/>
        <w:ind w:left="360"/>
        <w:rPr>
          <w:rFonts w:cs="Arial"/>
          <w:sz w:val="21"/>
          <w:szCs w:val="21"/>
          <w:lang w:val="en"/>
        </w:rPr>
      </w:pPr>
    </w:p>
    <w:p w:rsidR="00443766" w:rsidRPr="00443766" w:rsidRDefault="00443766" w:rsidP="00443766">
      <w:pPr>
        <w:pStyle w:val="ListParagraph"/>
        <w:numPr>
          <w:ilvl w:val="0"/>
          <w:numId w:val="1"/>
        </w:numPr>
        <w:shd w:val="clear" w:color="auto" w:fill="FFFFFF"/>
        <w:rPr>
          <w:rFonts w:cs="Segoe UI"/>
          <w:sz w:val="21"/>
          <w:szCs w:val="21"/>
        </w:rPr>
      </w:pPr>
      <w:r w:rsidRPr="00443766">
        <w:rPr>
          <w:rFonts w:cs="Arial"/>
          <w:sz w:val="21"/>
          <w:szCs w:val="21"/>
        </w:rPr>
        <w:t>A 2007 FAO report on avian influenza and other animal diseases shows that industrial livestock production plays an important part in the emergence of highly pathogenic avian influenza and other diseases.  The paper also shows that, once created, these contagious diseases are spread around the world by the international trade in animals and animal products. The FAO stresses that “excessive concentration of animals in large scale industrial production units should be avoided”.</w:t>
      </w:r>
      <w:r w:rsidRPr="00443766">
        <w:rPr>
          <w:rFonts w:cs="Segoe UI"/>
          <w:sz w:val="21"/>
          <w:szCs w:val="21"/>
        </w:rPr>
        <w:t xml:space="preserve"> </w:t>
      </w:r>
    </w:p>
    <w:p w:rsidR="005C0271" w:rsidRDefault="005C0271" w:rsidP="005C0271">
      <w:pPr>
        <w:pStyle w:val="BodyText"/>
        <w:numPr>
          <w:ilvl w:val="0"/>
          <w:numId w:val="1"/>
        </w:numPr>
        <w:spacing w:after="0"/>
        <w:jc w:val="left"/>
        <w:rPr>
          <w:rFonts w:asciiTheme="minorHAnsi" w:hAnsiTheme="minorHAnsi" w:cs="Arial"/>
          <w:sz w:val="21"/>
          <w:szCs w:val="21"/>
        </w:rPr>
      </w:pPr>
      <w:r w:rsidRPr="006A7B85">
        <w:rPr>
          <w:rFonts w:asciiTheme="minorHAnsi" w:hAnsiTheme="minorHAnsi" w:cs="Arial"/>
          <w:sz w:val="21"/>
          <w:szCs w:val="21"/>
        </w:rPr>
        <w:t xml:space="preserve">Research has demonstrated that </w:t>
      </w:r>
      <w:r>
        <w:rPr>
          <w:rFonts w:asciiTheme="minorHAnsi" w:hAnsiTheme="minorHAnsi" w:cs="Arial"/>
          <w:bCs/>
          <w:iCs/>
          <w:sz w:val="21"/>
          <w:szCs w:val="21"/>
        </w:rPr>
        <w:t>certain resources,</w:t>
      </w:r>
      <w:r w:rsidRPr="006A7B85">
        <w:rPr>
          <w:rFonts w:asciiTheme="minorHAnsi" w:hAnsiTheme="minorHAnsi" w:cs="Arial"/>
          <w:bCs/>
          <w:iCs/>
          <w:sz w:val="21"/>
          <w:szCs w:val="21"/>
        </w:rPr>
        <w:t xml:space="preserve"> such as enrichment materials and sufficient living space</w:t>
      </w:r>
      <w:r>
        <w:rPr>
          <w:rFonts w:asciiTheme="minorHAnsi" w:hAnsiTheme="minorHAnsi" w:cs="Arial"/>
          <w:bCs/>
          <w:iCs/>
          <w:sz w:val="21"/>
          <w:szCs w:val="21"/>
        </w:rPr>
        <w:t>,</w:t>
      </w:r>
      <w:r w:rsidRPr="006A7B85">
        <w:rPr>
          <w:rFonts w:asciiTheme="minorHAnsi" w:hAnsiTheme="minorHAnsi" w:cs="Arial"/>
          <w:bCs/>
          <w:iCs/>
          <w:sz w:val="21"/>
          <w:szCs w:val="21"/>
        </w:rPr>
        <w:t xml:space="preserve"> are necessary </w:t>
      </w:r>
      <w:r w:rsidRPr="006A7B85">
        <w:rPr>
          <w:rFonts w:asciiTheme="minorHAnsi" w:hAnsiTheme="minorHAnsi" w:cs="Arial"/>
          <w:sz w:val="21"/>
          <w:szCs w:val="21"/>
        </w:rPr>
        <w:t xml:space="preserve">for attaining acceptable welfare </w:t>
      </w:r>
      <w:r>
        <w:rPr>
          <w:rFonts w:asciiTheme="minorHAnsi" w:hAnsiTheme="minorHAnsi" w:cs="Arial"/>
          <w:sz w:val="21"/>
          <w:szCs w:val="21"/>
        </w:rPr>
        <w:t>outcomes.</w:t>
      </w:r>
      <w:r w:rsidRPr="006A7B85">
        <w:rPr>
          <w:rFonts w:asciiTheme="minorHAnsi" w:hAnsiTheme="minorHAnsi" w:cs="Arial"/>
          <w:sz w:val="21"/>
          <w:szCs w:val="21"/>
        </w:rPr>
        <w:t xml:space="preserve"> </w:t>
      </w:r>
      <w:r>
        <w:rPr>
          <w:rFonts w:asciiTheme="minorHAnsi" w:hAnsiTheme="minorHAnsi" w:cs="Arial"/>
          <w:sz w:val="21"/>
          <w:szCs w:val="21"/>
        </w:rPr>
        <w:t>A</w:t>
      </w:r>
      <w:r w:rsidRPr="006A7B85">
        <w:rPr>
          <w:rFonts w:asciiTheme="minorHAnsi" w:hAnsiTheme="minorHAnsi" w:cs="Arial"/>
          <w:sz w:val="21"/>
          <w:szCs w:val="21"/>
        </w:rPr>
        <w:t xml:space="preserve"> Technical Report on pigs produced for the European Food Safety Authority</w:t>
      </w:r>
      <w:r w:rsidR="000A65D6">
        <w:rPr>
          <w:rFonts w:asciiTheme="minorHAnsi" w:hAnsiTheme="minorHAnsi" w:cs="Arial"/>
          <w:sz w:val="21"/>
          <w:szCs w:val="21"/>
        </w:rPr>
        <w:t xml:space="preserve"> (EFSA)</w:t>
      </w:r>
      <w:r w:rsidRPr="006A7B85">
        <w:rPr>
          <w:rFonts w:asciiTheme="minorHAnsi" w:hAnsiTheme="minorHAnsi" w:cs="Arial"/>
          <w:sz w:val="21"/>
          <w:szCs w:val="21"/>
        </w:rPr>
        <w:t xml:space="preserve"> in 2011 reviews the literature and concludes that “all new data reinforce the importance of providing suitable enrichment materials to allow expression of species relevant behaviours and reduce risk of injurious biting”.</w:t>
      </w:r>
      <w:r>
        <w:rPr>
          <w:rStyle w:val="FootnoteReference"/>
          <w:rFonts w:asciiTheme="minorHAnsi" w:hAnsiTheme="minorHAnsi" w:cs="Arial"/>
          <w:sz w:val="21"/>
          <w:szCs w:val="21"/>
        </w:rPr>
        <w:footnoteReference w:id="2"/>
      </w:r>
    </w:p>
    <w:p w:rsidR="005C0271" w:rsidRPr="007022F1" w:rsidRDefault="005C0271" w:rsidP="005C0271">
      <w:pPr>
        <w:pStyle w:val="BodyText"/>
        <w:tabs>
          <w:tab w:val="clear" w:pos="720"/>
        </w:tabs>
        <w:spacing w:after="0"/>
        <w:ind w:left="360"/>
        <w:jc w:val="left"/>
        <w:rPr>
          <w:rFonts w:asciiTheme="minorHAnsi" w:hAnsiTheme="minorHAnsi" w:cs="Arial"/>
          <w:sz w:val="21"/>
          <w:szCs w:val="21"/>
        </w:rPr>
      </w:pPr>
    </w:p>
    <w:p w:rsidR="005C0271" w:rsidRDefault="005C0271" w:rsidP="005C0271">
      <w:pPr>
        <w:pStyle w:val="BodyText"/>
        <w:numPr>
          <w:ilvl w:val="0"/>
          <w:numId w:val="1"/>
        </w:numPr>
        <w:spacing w:after="0"/>
        <w:jc w:val="left"/>
        <w:rPr>
          <w:rFonts w:asciiTheme="minorHAnsi" w:hAnsiTheme="minorHAnsi" w:cs="Arial"/>
          <w:sz w:val="21"/>
          <w:szCs w:val="21"/>
        </w:rPr>
      </w:pPr>
      <w:r w:rsidRPr="007022F1">
        <w:rPr>
          <w:rFonts w:asciiTheme="minorHAnsi" w:hAnsiTheme="minorHAnsi" w:cs="Arial"/>
          <w:sz w:val="21"/>
          <w:szCs w:val="21"/>
        </w:rPr>
        <w:t xml:space="preserve">A range of studies show that fast growth rates in broilers contribute to leg disorders and metabolic disorders such as </w:t>
      </w:r>
      <w:r>
        <w:rPr>
          <w:rFonts w:asciiTheme="minorHAnsi" w:hAnsiTheme="minorHAnsi" w:cs="Arial"/>
          <w:sz w:val="21"/>
          <w:szCs w:val="21"/>
        </w:rPr>
        <w:t>sudden death syndrome.</w:t>
      </w:r>
      <w:r w:rsidRPr="007022F1">
        <w:rPr>
          <w:rFonts w:asciiTheme="minorHAnsi" w:hAnsiTheme="minorHAnsi" w:cs="Arial"/>
          <w:sz w:val="21"/>
          <w:szCs w:val="21"/>
        </w:rPr>
        <w:t xml:space="preserve"> A large-scale UK study into leg disorders in broilers found that 27.6% of the chickens had </w:t>
      </w:r>
      <w:r w:rsidRPr="007022F1">
        <w:rPr>
          <w:rFonts w:asciiTheme="minorHAnsi" w:hAnsiTheme="minorHAnsi" w:cs="Arial"/>
          <w:bCs/>
          <w:sz w:val="21"/>
          <w:szCs w:val="21"/>
        </w:rPr>
        <w:t>gait scores of 3 or more, i.e. lameness that is likely to be painful.</w:t>
      </w:r>
      <w:r w:rsidRPr="007022F1">
        <w:rPr>
          <w:rFonts w:asciiTheme="minorHAnsi" w:hAnsiTheme="minorHAnsi" w:cs="Arial"/>
          <w:sz w:val="21"/>
          <w:szCs w:val="21"/>
        </w:rPr>
        <w:t xml:space="preserve">  The study concluded that “the primary risk factors associated with impaired locomotion and poor leg health are those specifically associated with rate of growth”</w:t>
      </w:r>
      <w:r>
        <w:rPr>
          <w:rStyle w:val="FootnoteReference"/>
          <w:rFonts w:asciiTheme="minorHAnsi" w:hAnsiTheme="minorHAnsi" w:cs="Arial"/>
          <w:sz w:val="21"/>
          <w:szCs w:val="21"/>
        </w:rPr>
        <w:footnoteReference w:id="3"/>
      </w:r>
      <w:r>
        <w:rPr>
          <w:rFonts w:asciiTheme="minorHAnsi" w:hAnsiTheme="minorHAnsi" w:cs="Arial"/>
          <w:sz w:val="21"/>
          <w:szCs w:val="21"/>
        </w:rPr>
        <w:t xml:space="preserve"> </w:t>
      </w:r>
      <w:r w:rsidRPr="007022F1">
        <w:rPr>
          <w:rFonts w:asciiTheme="minorHAnsi" w:hAnsiTheme="minorHAnsi" w:cs="Arial"/>
          <w:sz w:val="21"/>
          <w:szCs w:val="21"/>
        </w:rPr>
        <w:t xml:space="preserve"> </w:t>
      </w:r>
    </w:p>
    <w:p w:rsidR="005C0271" w:rsidRPr="007022F1" w:rsidRDefault="005C0271" w:rsidP="005C0271">
      <w:pPr>
        <w:pStyle w:val="BodyText"/>
        <w:tabs>
          <w:tab w:val="clear" w:pos="720"/>
        </w:tabs>
        <w:spacing w:after="0"/>
        <w:ind w:left="360"/>
        <w:jc w:val="left"/>
        <w:rPr>
          <w:rFonts w:asciiTheme="minorHAnsi" w:hAnsiTheme="minorHAnsi" w:cs="Arial"/>
          <w:sz w:val="21"/>
          <w:szCs w:val="21"/>
        </w:rPr>
      </w:pPr>
    </w:p>
    <w:p w:rsidR="005C0271" w:rsidRPr="007022F1" w:rsidRDefault="005C0271" w:rsidP="005C0271">
      <w:pPr>
        <w:pStyle w:val="BodyText"/>
        <w:numPr>
          <w:ilvl w:val="0"/>
          <w:numId w:val="1"/>
        </w:numPr>
        <w:spacing w:after="0"/>
        <w:jc w:val="left"/>
        <w:rPr>
          <w:rFonts w:asciiTheme="minorHAnsi" w:hAnsiTheme="minorHAnsi" w:cs="Arial"/>
          <w:sz w:val="21"/>
          <w:szCs w:val="21"/>
        </w:rPr>
      </w:pPr>
      <w:r w:rsidRPr="007022F1">
        <w:rPr>
          <w:rFonts w:asciiTheme="minorHAnsi" w:hAnsiTheme="minorHAnsi" w:cs="Arial"/>
          <w:bCs/>
          <w:sz w:val="21"/>
          <w:szCs w:val="21"/>
          <w:lang w:val="en-US"/>
        </w:rPr>
        <w:lastRenderedPageBreak/>
        <w:t xml:space="preserve">An analysis of data </w:t>
      </w:r>
      <w:r>
        <w:rPr>
          <w:rFonts w:asciiTheme="minorHAnsi" w:hAnsiTheme="minorHAnsi" w:cs="Arial"/>
          <w:bCs/>
          <w:sz w:val="21"/>
          <w:szCs w:val="21"/>
          <w:lang w:val="en-US"/>
        </w:rPr>
        <w:t>of</w:t>
      </w:r>
      <w:r w:rsidRPr="007022F1">
        <w:rPr>
          <w:rFonts w:asciiTheme="minorHAnsi" w:hAnsiTheme="minorHAnsi" w:cs="Arial"/>
          <w:bCs/>
          <w:sz w:val="21"/>
          <w:szCs w:val="21"/>
          <w:lang w:val="en-US"/>
        </w:rPr>
        <w:t xml:space="preserve"> chickens reared to </w:t>
      </w:r>
      <w:r w:rsidRPr="007022F1">
        <w:rPr>
          <w:rFonts w:asciiTheme="minorHAnsi" w:hAnsiTheme="minorHAnsi" w:cs="Arial"/>
          <w:bCs/>
          <w:i/>
          <w:sz w:val="21"/>
          <w:szCs w:val="21"/>
          <w:lang w:val="en-US"/>
        </w:rPr>
        <w:t>Red Tractor</w:t>
      </w:r>
      <w:r w:rsidRPr="007022F1">
        <w:rPr>
          <w:rFonts w:asciiTheme="minorHAnsi" w:hAnsiTheme="minorHAnsi" w:cs="Arial"/>
          <w:bCs/>
          <w:sz w:val="21"/>
          <w:szCs w:val="21"/>
          <w:lang w:val="en-US"/>
        </w:rPr>
        <w:t xml:space="preserve"> standards and </w:t>
      </w:r>
      <w:r w:rsidRPr="007022F1">
        <w:rPr>
          <w:rFonts w:asciiTheme="minorHAnsi" w:hAnsiTheme="minorHAnsi" w:cs="Arial"/>
          <w:bCs/>
          <w:i/>
          <w:sz w:val="21"/>
          <w:szCs w:val="21"/>
          <w:lang w:val="en-US"/>
        </w:rPr>
        <w:t>Freedom Food</w:t>
      </w:r>
      <w:r w:rsidRPr="007022F1">
        <w:rPr>
          <w:rFonts w:asciiTheme="minorHAnsi" w:hAnsiTheme="minorHAnsi" w:cs="Arial"/>
          <w:bCs/>
          <w:sz w:val="21"/>
          <w:szCs w:val="21"/>
          <w:lang w:val="en-US"/>
        </w:rPr>
        <w:t xml:space="preserve"> illustrates the beneficial impact that a good system can have on welfare.</w:t>
      </w:r>
      <w:r>
        <w:rPr>
          <w:rStyle w:val="FootnoteReference"/>
          <w:rFonts w:asciiTheme="minorHAnsi" w:hAnsiTheme="minorHAnsi" w:cs="Arial"/>
          <w:bCs/>
          <w:sz w:val="21"/>
          <w:szCs w:val="21"/>
          <w:lang w:val="en-US"/>
        </w:rPr>
        <w:footnoteReference w:id="4"/>
      </w:r>
      <w:r w:rsidRPr="007022F1">
        <w:rPr>
          <w:rFonts w:asciiTheme="minorHAnsi" w:hAnsiTheme="minorHAnsi" w:cs="Arial"/>
          <w:bCs/>
          <w:sz w:val="21"/>
          <w:szCs w:val="21"/>
          <w:lang w:val="en-US"/>
        </w:rPr>
        <w:t xml:space="preserve"> The </w:t>
      </w:r>
      <w:r w:rsidRPr="007022F1">
        <w:rPr>
          <w:rFonts w:asciiTheme="minorHAnsi" w:hAnsiTheme="minorHAnsi" w:cs="Arial"/>
          <w:bCs/>
          <w:i/>
          <w:sz w:val="21"/>
          <w:szCs w:val="21"/>
          <w:lang w:val="en-US"/>
        </w:rPr>
        <w:t xml:space="preserve">Freedom Food </w:t>
      </w:r>
      <w:r w:rsidRPr="007022F1">
        <w:rPr>
          <w:rFonts w:asciiTheme="minorHAnsi" w:hAnsiTheme="minorHAnsi" w:cs="Arial"/>
          <w:bCs/>
          <w:sz w:val="21"/>
          <w:szCs w:val="21"/>
          <w:lang w:val="en-US"/>
        </w:rPr>
        <w:t xml:space="preserve">chickens had an average level of foot pad burn of 3.5% compared with 6.5% for the </w:t>
      </w:r>
      <w:r w:rsidRPr="007022F1">
        <w:rPr>
          <w:rFonts w:asciiTheme="minorHAnsi" w:hAnsiTheme="minorHAnsi" w:cs="Arial"/>
          <w:bCs/>
          <w:i/>
          <w:sz w:val="21"/>
          <w:szCs w:val="21"/>
          <w:lang w:val="en-US"/>
        </w:rPr>
        <w:t xml:space="preserve">Red Tractor </w:t>
      </w:r>
      <w:r w:rsidRPr="007022F1">
        <w:rPr>
          <w:rFonts w:asciiTheme="minorHAnsi" w:hAnsiTheme="minorHAnsi" w:cs="Arial"/>
          <w:bCs/>
          <w:sz w:val="21"/>
          <w:szCs w:val="21"/>
          <w:lang w:val="en-US"/>
        </w:rPr>
        <w:t xml:space="preserve">birds.  The average mortality rate for the </w:t>
      </w:r>
      <w:r w:rsidRPr="007022F1">
        <w:rPr>
          <w:rFonts w:asciiTheme="minorHAnsi" w:hAnsiTheme="minorHAnsi" w:cs="Arial"/>
          <w:bCs/>
          <w:i/>
          <w:sz w:val="21"/>
          <w:szCs w:val="21"/>
          <w:lang w:val="en-US"/>
        </w:rPr>
        <w:t xml:space="preserve">Freedom Food </w:t>
      </w:r>
      <w:r w:rsidRPr="007022F1">
        <w:rPr>
          <w:rFonts w:asciiTheme="minorHAnsi" w:hAnsiTheme="minorHAnsi" w:cs="Arial"/>
          <w:bCs/>
          <w:sz w:val="21"/>
          <w:szCs w:val="21"/>
          <w:lang w:val="en-US"/>
        </w:rPr>
        <w:t xml:space="preserve">broilers was 1.8%, while that of the </w:t>
      </w:r>
      <w:r w:rsidRPr="007022F1">
        <w:rPr>
          <w:rFonts w:asciiTheme="minorHAnsi" w:hAnsiTheme="minorHAnsi" w:cs="Arial"/>
          <w:bCs/>
          <w:i/>
          <w:sz w:val="21"/>
          <w:szCs w:val="21"/>
          <w:lang w:val="en-US"/>
        </w:rPr>
        <w:t xml:space="preserve">Red Tractor </w:t>
      </w:r>
      <w:r w:rsidRPr="007022F1">
        <w:rPr>
          <w:rFonts w:asciiTheme="minorHAnsi" w:hAnsiTheme="minorHAnsi" w:cs="Arial"/>
          <w:bCs/>
          <w:sz w:val="21"/>
          <w:szCs w:val="21"/>
          <w:lang w:val="en-US"/>
        </w:rPr>
        <w:t xml:space="preserve">birds was 5.1%.  </w:t>
      </w:r>
      <w:r>
        <w:rPr>
          <w:rFonts w:asciiTheme="minorHAnsi" w:hAnsiTheme="minorHAnsi" w:cs="Arial"/>
          <w:bCs/>
          <w:sz w:val="21"/>
          <w:szCs w:val="21"/>
          <w:lang w:val="en-US"/>
        </w:rPr>
        <w:t>T</w:t>
      </w:r>
      <w:r w:rsidRPr="007022F1">
        <w:rPr>
          <w:rFonts w:asciiTheme="minorHAnsi" w:hAnsiTheme="minorHAnsi" w:cs="Arial"/>
          <w:bCs/>
          <w:sz w:val="21"/>
          <w:szCs w:val="21"/>
          <w:lang w:val="en-US"/>
        </w:rPr>
        <w:t xml:space="preserve">he better performance of the </w:t>
      </w:r>
      <w:r w:rsidRPr="007022F1">
        <w:rPr>
          <w:rFonts w:asciiTheme="minorHAnsi" w:hAnsiTheme="minorHAnsi" w:cs="Arial"/>
          <w:bCs/>
          <w:i/>
          <w:sz w:val="21"/>
          <w:szCs w:val="21"/>
          <w:lang w:val="en-US"/>
        </w:rPr>
        <w:t xml:space="preserve">Freedom Food </w:t>
      </w:r>
      <w:r w:rsidRPr="007022F1">
        <w:rPr>
          <w:rFonts w:asciiTheme="minorHAnsi" w:hAnsiTheme="minorHAnsi" w:cs="Arial"/>
          <w:bCs/>
          <w:sz w:val="21"/>
          <w:szCs w:val="21"/>
          <w:lang w:val="en-US"/>
        </w:rPr>
        <w:t xml:space="preserve">birds resulted from the higher standards (lower stocking density, provision of enrichment and slower growth rate) in </w:t>
      </w:r>
      <w:r w:rsidRPr="007022F1">
        <w:rPr>
          <w:rFonts w:asciiTheme="minorHAnsi" w:hAnsiTheme="minorHAnsi" w:cs="Arial"/>
          <w:bCs/>
          <w:i/>
          <w:sz w:val="21"/>
          <w:szCs w:val="21"/>
          <w:lang w:val="en-US"/>
        </w:rPr>
        <w:t>Freedom Food</w:t>
      </w:r>
      <w:r w:rsidRPr="007022F1">
        <w:rPr>
          <w:rFonts w:asciiTheme="minorHAnsi" w:hAnsiTheme="minorHAnsi" w:cs="Arial"/>
          <w:bCs/>
          <w:sz w:val="21"/>
          <w:szCs w:val="21"/>
          <w:lang w:val="en-US"/>
        </w:rPr>
        <w:t xml:space="preserve"> farms rather than from poorer husbandry in the </w:t>
      </w:r>
      <w:r w:rsidRPr="007022F1">
        <w:rPr>
          <w:rFonts w:asciiTheme="minorHAnsi" w:hAnsiTheme="minorHAnsi" w:cs="Arial"/>
          <w:bCs/>
          <w:i/>
          <w:sz w:val="21"/>
          <w:szCs w:val="21"/>
          <w:lang w:val="en-US"/>
        </w:rPr>
        <w:t>Red Tractor</w:t>
      </w:r>
      <w:r w:rsidRPr="007022F1">
        <w:rPr>
          <w:rFonts w:asciiTheme="minorHAnsi" w:hAnsiTheme="minorHAnsi" w:cs="Arial"/>
          <w:bCs/>
          <w:sz w:val="21"/>
          <w:szCs w:val="21"/>
          <w:lang w:val="en-US"/>
        </w:rPr>
        <w:t xml:space="preserve"> farms.</w:t>
      </w:r>
    </w:p>
    <w:p w:rsidR="005C0271" w:rsidRPr="007022F1" w:rsidRDefault="005C0271" w:rsidP="005C0271">
      <w:pPr>
        <w:pStyle w:val="BodyText"/>
        <w:tabs>
          <w:tab w:val="clear" w:pos="720"/>
        </w:tabs>
        <w:spacing w:after="0"/>
        <w:ind w:left="360"/>
        <w:jc w:val="left"/>
        <w:rPr>
          <w:rFonts w:asciiTheme="minorHAnsi" w:hAnsiTheme="minorHAnsi" w:cs="Arial"/>
          <w:sz w:val="21"/>
          <w:szCs w:val="21"/>
        </w:rPr>
      </w:pPr>
    </w:p>
    <w:p w:rsidR="005C0271" w:rsidRPr="007022F1" w:rsidRDefault="005C0271" w:rsidP="005C0271">
      <w:pPr>
        <w:pStyle w:val="BodyText"/>
        <w:numPr>
          <w:ilvl w:val="0"/>
          <w:numId w:val="1"/>
        </w:numPr>
        <w:spacing w:after="0"/>
        <w:jc w:val="left"/>
        <w:rPr>
          <w:rFonts w:asciiTheme="minorHAnsi" w:hAnsiTheme="minorHAnsi" w:cs="Arial"/>
          <w:sz w:val="21"/>
          <w:szCs w:val="21"/>
        </w:rPr>
      </w:pPr>
      <w:r w:rsidRPr="007022F1">
        <w:rPr>
          <w:rFonts w:asciiTheme="minorHAnsi" w:hAnsiTheme="minorHAnsi" w:cs="Arial"/>
          <w:bCs/>
          <w:sz w:val="21"/>
          <w:szCs w:val="21"/>
          <w:lang w:val="en-US"/>
        </w:rPr>
        <w:t xml:space="preserve">Scientific research indicates that zero grazing </w:t>
      </w:r>
      <w:r w:rsidRPr="007022F1">
        <w:rPr>
          <w:rFonts w:asciiTheme="minorHAnsi" w:hAnsiTheme="minorHAnsi" w:cs="Arial"/>
          <w:sz w:val="21"/>
          <w:szCs w:val="21"/>
        </w:rPr>
        <w:t>has a detrimental impact on the health and welfare of dairy cows.  EFSA has stated, in what they characterised as a high priority conclusion, that</w:t>
      </w:r>
      <w:r>
        <w:rPr>
          <w:rFonts w:asciiTheme="minorHAnsi" w:hAnsiTheme="minorHAnsi" w:cs="Arial"/>
          <w:sz w:val="21"/>
          <w:szCs w:val="21"/>
        </w:rPr>
        <w:t>:</w:t>
      </w:r>
      <w:r w:rsidRPr="007022F1">
        <w:rPr>
          <w:rFonts w:asciiTheme="minorHAnsi" w:hAnsiTheme="minorHAnsi" w:cs="Arial"/>
          <w:sz w:val="21"/>
          <w:szCs w:val="21"/>
        </w:rPr>
        <w:t xml:space="preserve"> “</w:t>
      </w:r>
      <w:r w:rsidRPr="007022F1">
        <w:rPr>
          <w:rFonts w:asciiTheme="minorHAnsi" w:hAnsiTheme="minorHAnsi" w:cs="Arial"/>
          <w:color w:val="000000"/>
          <w:sz w:val="21"/>
          <w:szCs w:val="21"/>
        </w:rPr>
        <w:t>If dairy cows are not kept on pasture for parts of the year, i.e. they are permanently on a zero-grazing system, there is an increased risk of lameness, hoof problems, teat tramp, mastitis, metritis, dystocia, ketosis, retained placenta and some bacterial infections.”</w:t>
      </w:r>
      <w:r>
        <w:rPr>
          <w:rStyle w:val="FootnoteReference"/>
          <w:rFonts w:asciiTheme="minorHAnsi" w:hAnsiTheme="minorHAnsi" w:cs="Arial"/>
          <w:color w:val="000000"/>
          <w:sz w:val="21"/>
          <w:szCs w:val="21"/>
        </w:rPr>
        <w:footnoteReference w:id="5"/>
      </w:r>
    </w:p>
    <w:p w:rsidR="00EE1A49" w:rsidRDefault="00EE1A49" w:rsidP="00E21E02">
      <w:pPr>
        <w:rPr>
          <w:b/>
          <w:sz w:val="21"/>
          <w:szCs w:val="21"/>
        </w:rPr>
      </w:pPr>
    </w:p>
    <w:p w:rsidR="00E21E02" w:rsidRPr="00E21E02" w:rsidRDefault="00E21E02" w:rsidP="00E21E02">
      <w:pPr>
        <w:rPr>
          <w:b/>
          <w:sz w:val="21"/>
          <w:szCs w:val="21"/>
        </w:rPr>
      </w:pPr>
      <w:r w:rsidRPr="00E21E02">
        <w:rPr>
          <w:b/>
          <w:sz w:val="21"/>
          <w:szCs w:val="21"/>
        </w:rPr>
        <w:t>Intensive</w:t>
      </w:r>
      <w:r>
        <w:rPr>
          <w:b/>
          <w:sz w:val="21"/>
          <w:szCs w:val="21"/>
        </w:rPr>
        <w:t>/extensive</w:t>
      </w:r>
      <w:r w:rsidRPr="00E21E02">
        <w:rPr>
          <w:b/>
          <w:sz w:val="21"/>
          <w:szCs w:val="21"/>
        </w:rPr>
        <w:t xml:space="preserve"> farming </w:t>
      </w:r>
      <w:r>
        <w:rPr>
          <w:b/>
          <w:sz w:val="21"/>
          <w:szCs w:val="21"/>
        </w:rPr>
        <w:t xml:space="preserve">systems </w:t>
      </w:r>
      <w:r w:rsidRPr="00E21E02">
        <w:rPr>
          <w:b/>
          <w:sz w:val="21"/>
          <w:szCs w:val="21"/>
        </w:rPr>
        <w:t>&amp;</w:t>
      </w:r>
      <w:r>
        <w:rPr>
          <w:b/>
          <w:sz w:val="21"/>
          <w:szCs w:val="21"/>
        </w:rPr>
        <w:t xml:space="preserve"> antibiotic use</w:t>
      </w:r>
    </w:p>
    <w:p w:rsidR="00936CD3" w:rsidRPr="00E21E02" w:rsidRDefault="00BA5378" w:rsidP="00E21E02">
      <w:pPr>
        <w:pStyle w:val="ListParagraph"/>
        <w:numPr>
          <w:ilvl w:val="0"/>
          <w:numId w:val="1"/>
        </w:numPr>
        <w:rPr>
          <w:rFonts w:cs="Arial"/>
          <w:sz w:val="21"/>
          <w:szCs w:val="21"/>
          <w:shd w:val="clear" w:color="auto" w:fill="F5F5F5"/>
        </w:rPr>
      </w:pPr>
      <w:r w:rsidRPr="006A7B85">
        <w:rPr>
          <w:sz w:val="21"/>
          <w:szCs w:val="21"/>
        </w:rPr>
        <w:t xml:space="preserve">The </w:t>
      </w:r>
      <w:r w:rsidR="00420193">
        <w:rPr>
          <w:sz w:val="21"/>
          <w:szCs w:val="21"/>
        </w:rPr>
        <w:t>main</w:t>
      </w:r>
      <w:r w:rsidR="001E4305">
        <w:rPr>
          <w:sz w:val="21"/>
          <w:szCs w:val="21"/>
        </w:rPr>
        <w:t xml:space="preserve"> cause of food-</w:t>
      </w:r>
      <w:r w:rsidRPr="006A7B85">
        <w:rPr>
          <w:sz w:val="21"/>
          <w:szCs w:val="21"/>
        </w:rPr>
        <w:t>animal</w:t>
      </w:r>
      <w:r w:rsidR="00420193">
        <w:rPr>
          <w:sz w:val="21"/>
          <w:szCs w:val="21"/>
        </w:rPr>
        <w:t xml:space="preserve"> </w:t>
      </w:r>
      <w:r w:rsidRPr="006A7B85">
        <w:rPr>
          <w:sz w:val="21"/>
          <w:szCs w:val="21"/>
        </w:rPr>
        <w:t xml:space="preserve">related antibiotic resistance is factory farming. In intensive production, animals are confined in overcrowded conditions, usually with no outdoor access, and are bred for </w:t>
      </w:r>
      <w:r w:rsidR="001E4305">
        <w:rPr>
          <w:sz w:val="21"/>
          <w:szCs w:val="21"/>
        </w:rPr>
        <w:t>maximum yield</w:t>
      </w:r>
      <w:r w:rsidRPr="006A7B85">
        <w:rPr>
          <w:sz w:val="21"/>
          <w:szCs w:val="21"/>
        </w:rPr>
        <w:t>. These conditions compromise their health and immune responses</w:t>
      </w:r>
      <w:r w:rsidR="00434B00" w:rsidRPr="006A7B85">
        <w:rPr>
          <w:sz w:val="21"/>
          <w:szCs w:val="21"/>
        </w:rPr>
        <w:t>,</w:t>
      </w:r>
      <w:r w:rsidRPr="006A7B85">
        <w:rPr>
          <w:sz w:val="21"/>
          <w:szCs w:val="21"/>
        </w:rPr>
        <w:t xml:space="preserve"> and encourage disease to develop and spread.</w:t>
      </w:r>
      <w:r w:rsidR="00434B00" w:rsidRPr="006A7B85">
        <w:rPr>
          <w:sz w:val="21"/>
          <w:szCs w:val="21"/>
        </w:rPr>
        <w:t xml:space="preserve"> </w:t>
      </w:r>
      <w:r w:rsidR="00E21E02">
        <w:rPr>
          <w:rStyle w:val="FootnoteReference"/>
          <w:sz w:val="21"/>
          <w:szCs w:val="21"/>
        </w:rPr>
        <w:footnoteReference w:id="6"/>
      </w:r>
      <w:r w:rsidR="00420193">
        <w:rPr>
          <w:sz w:val="21"/>
          <w:szCs w:val="21"/>
        </w:rPr>
        <w:t xml:space="preserve"> </w:t>
      </w:r>
      <w:r w:rsidR="00E21E02">
        <w:rPr>
          <w:rStyle w:val="FootnoteReference"/>
          <w:sz w:val="21"/>
          <w:szCs w:val="21"/>
        </w:rPr>
        <w:footnoteReference w:id="7"/>
      </w:r>
      <w:r w:rsidR="00E21E02">
        <w:rPr>
          <w:sz w:val="21"/>
          <w:szCs w:val="21"/>
        </w:rPr>
        <w:t xml:space="preserve"> </w:t>
      </w:r>
      <w:r w:rsidRPr="00E21E02">
        <w:rPr>
          <w:sz w:val="21"/>
          <w:szCs w:val="21"/>
        </w:rPr>
        <w:t>Without the aid of drugs for disease prevention, it would not be possible to keep animals productive in the intensive conditions in which they are often kept.</w:t>
      </w:r>
    </w:p>
    <w:p w:rsidR="00936CD3" w:rsidRPr="006A7B85" w:rsidRDefault="00936CD3" w:rsidP="00936CD3">
      <w:pPr>
        <w:pStyle w:val="ListParagraph"/>
        <w:rPr>
          <w:rFonts w:cs="Arial"/>
          <w:sz w:val="21"/>
          <w:szCs w:val="21"/>
          <w:shd w:val="clear" w:color="auto" w:fill="F5F5F5"/>
        </w:rPr>
      </w:pPr>
    </w:p>
    <w:p w:rsidR="00C36D3B" w:rsidRPr="006A7B85" w:rsidRDefault="00434B00" w:rsidP="00434B00">
      <w:pPr>
        <w:pStyle w:val="ListParagraph"/>
        <w:numPr>
          <w:ilvl w:val="0"/>
          <w:numId w:val="1"/>
        </w:numPr>
        <w:rPr>
          <w:sz w:val="21"/>
          <w:szCs w:val="21"/>
        </w:rPr>
      </w:pPr>
      <w:r w:rsidRPr="006A7B85">
        <w:rPr>
          <w:sz w:val="21"/>
          <w:szCs w:val="21"/>
        </w:rPr>
        <w:t xml:space="preserve">Animal welfare can play a big role in reducing antimicrobial usage. </w:t>
      </w:r>
      <w:r w:rsidR="00C36D3B" w:rsidRPr="006A7B85">
        <w:rPr>
          <w:sz w:val="21"/>
          <w:szCs w:val="21"/>
        </w:rPr>
        <w:t>Proper production practices, such as maintaining flock and herd health by preventing disease through biosecurity and the use of vaccines, help minimize the need for antimicrobial use.  Good animal husbandry, preventive health care, use of proper rations and providing quality care are the keys to raising healthy</w:t>
      </w:r>
      <w:r w:rsidRPr="006A7B85">
        <w:rPr>
          <w:sz w:val="21"/>
          <w:szCs w:val="21"/>
        </w:rPr>
        <w:t xml:space="preserve"> </w:t>
      </w:r>
      <w:r w:rsidR="00936CD3" w:rsidRPr="006A7B85">
        <w:rPr>
          <w:sz w:val="21"/>
          <w:szCs w:val="21"/>
        </w:rPr>
        <w:t>a</w:t>
      </w:r>
      <w:r w:rsidR="00C36D3B" w:rsidRPr="006A7B85">
        <w:rPr>
          <w:sz w:val="21"/>
          <w:szCs w:val="21"/>
        </w:rPr>
        <w:t>nimals.</w:t>
      </w:r>
      <w:r w:rsidRPr="006A7B85">
        <w:rPr>
          <w:rStyle w:val="FootnoteReference"/>
          <w:sz w:val="21"/>
          <w:szCs w:val="21"/>
        </w:rPr>
        <w:t xml:space="preserve"> </w:t>
      </w:r>
      <w:r w:rsidRPr="006A7B85">
        <w:rPr>
          <w:rStyle w:val="FootnoteReference"/>
          <w:sz w:val="21"/>
          <w:szCs w:val="21"/>
        </w:rPr>
        <w:footnoteReference w:id="8"/>
      </w:r>
      <w:r w:rsidR="00C36D3B" w:rsidRPr="006A7B85">
        <w:rPr>
          <w:sz w:val="21"/>
          <w:szCs w:val="21"/>
        </w:rPr>
        <w:t xml:space="preserve">    </w:t>
      </w:r>
    </w:p>
    <w:p w:rsidR="00C36D3B" w:rsidRPr="006A7B85" w:rsidRDefault="00C36D3B" w:rsidP="00EE4FD8">
      <w:pPr>
        <w:pStyle w:val="NoSpacing"/>
        <w:numPr>
          <w:ilvl w:val="0"/>
          <w:numId w:val="1"/>
        </w:numPr>
        <w:rPr>
          <w:sz w:val="21"/>
          <w:szCs w:val="21"/>
        </w:rPr>
      </w:pPr>
      <w:r w:rsidRPr="006A7B85">
        <w:rPr>
          <w:sz w:val="21"/>
          <w:szCs w:val="21"/>
        </w:rPr>
        <w:t xml:space="preserve">Livestock farming should focus on disease prevention through good practice rather than through routine use of </w:t>
      </w:r>
      <w:r w:rsidRPr="006A7B85">
        <w:rPr>
          <w:iCs/>
          <w:sz w:val="21"/>
          <w:szCs w:val="21"/>
        </w:rPr>
        <w:t>antibiotics</w:t>
      </w:r>
      <w:r w:rsidRPr="006A7B85">
        <w:rPr>
          <w:sz w:val="21"/>
          <w:szCs w:val="21"/>
        </w:rPr>
        <w:t>. Animals farmed with full access to the outdoors, in conditions which are not overly intensive, require far fewer antibiotics tha</w:t>
      </w:r>
      <w:r w:rsidR="003600BB">
        <w:rPr>
          <w:sz w:val="21"/>
          <w:szCs w:val="21"/>
        </w:rPr>
        <w:t>n those farmed entirely indoors</w:t>
      </w:r>
      <w:r w:rsidRPr="006A7B85">
        <w:rPr>
          <w:sz w:val="21"/>
          <w:szCs w:val="21"/>
        </w:rPr>
        <w:t xml:space="preserve">. </w:t>
      </w:r>
      <w:r w:rsidRPr="006A7B85">
        <w:rPr>
          <w:iCs/>
          <w:sz w:val="21"/>
          <w:szCs w:val="21"/>
        </w:rPr>
        <w:t xml:space="preserve">Organic farming bans routine preventative use of antibiotics on a whole herd or flock basis to prevent disease. </w:t>
      </w:r>
    </w:p>
    <w:p w:rsidR="00ED3DCC" w:rsidRPr="00ED3DCC" w:rsidRDefault="00ED3DCC" w:rsidP="00ED3DCC">
      <w:pPr>
        <w:pStyle w:val="ListParagraph"/>
        <w:rPr>
          <w:sz w:val="21"/>
          <w:szCs w:val="21"/>
        </w:rPr>
      </w:pPr>
    </w:p>
    <w:p w:rsidR="00C36D3B" w:rsidRPr="00ED3DCC" w:rsidRDefault="00C36D3B" w:rsidP="0084028A">
      <w:pPr>
        <w:pStyle w:val="ListParagraph"/>
        <w:numPr>
          <w:ilvl w:val="0"/>
          <w:numId w:val="1"/>
        </w:numPr>
        <w:shd w:val="clear" w:color="auto" w:fill="FFFFFF"/>
        <w:spacing w:after="0" w:line="240" w:lineRule="auto"/>
        <w:rPr>
          <w:sz w:val="21"/>
          <w:szCs w:val="21"/>
        </w:rPr>
      </w:pPr>
      <w:r w:rsidRPr="00ED3DCC">
        <w:rPr>
          <w:sz w:val="21"/>
          <w:szCs w:val="21"/>
        </w:rPr>
        <w:t xml:space="preserve">A small study by British government scientists compared 12 organic farms (5 pig farms and 7 poultry) with 13 non organic (7 pig farms and 6 poultry farms). Per kilogramme of meat produced, the non-organic pig farms used between 13 times and 330 times more antibiotics than the highest-consuming organic pig farm. Six of the seven organic poultry farms and two of the five organic pig farms did not use antibiotics at all during the </w:t>
      </w:r>
      <w:r w:rsidR="00434B00" w:rsidRPr="00ED3DCC">
        <w:rPr>
          <w:sz w:val="21"/>
          <w:szCs w:val="21"/>
        </w:rPr>
        <w:t>2</w:t>
      </w:r>
      <w:r w:rsidRPr="00ED3DCC">
        <w:rPr>
          <w:sz w:val="21"/>
          <w:szCs w:val="21"/>
        </w:rPr>
        <w:t xml:space="preserve"> year study.</w:t>
      </w:r>
    </w:p>
    <w:p w:rsidR="00C36D3B" w:rsidRPr="006A7B85" w:rsidRDefault="00C36D3B" w:rsidP="00C36D3B">
      <w:pPr>
        <w:pStyle w:val="NoSpacing"/>
        <w:ind w:left="720"/>
        <w:rPr>
          <w:sz w:val="21"/>
          <w:szCs w:val="21"/>
        </w:rPr>
      </w:pPr>
    </w:p>
    <w:p w:rsidR="00BA5378" w:rsidRPr="006A7B85" w:rsidRDefault="00C36D3B" w:rsidP="001E759B">
      <w:pPr>
        <w:pStyle w:val="NoSpacing"/>
        <w:numPr>
          <w:ilvl w:val="0"/>
          <w:numId w:val="1"/>
        </w:numPr>
        <w:rPr>
          <w:sz w:val="21"/>
          <w:szCs w:val="21"/>
          <w:shd w:val="clear" w:color="auto" w:fill="FFFFFF"/>
        </w:rPr>
      </w:pPr>
      <w:r w:rsidRPr="006A7B85">
        <w:rPr>
          <w:sz w:val="21"/>
          <w:szCs w:val="21"/>
        </w:rPr>
        <w:t xml:space="preserve">A useful example which links veterinary antibiotic use to farm production system is provided by sheep – which are </w:t>
      </w:r>
      <w:r w:rsidR="00434B00" w:rsidRPr="006A7B85">
        <w:rPr>
          <w:sz w:val="21"/>
          <w:szCs w:val="21"/>
        </w:rPr>
        <w:t>mainly</w:t>
      </w:r>
      <w:r w:rsidRPr="006A7B85">
        <w:rPr>
          <w:sz w:val="21"/>
          <w:szCs w:val="21"/>
        </w:rPr>
        <w:t xml:space="preserve"> farmed outdoors, even when farmed non-organically. Sheep account for a very small fraction of total farm antibiotic use. </w:t>
      </w:r>
      <w:r w:rsidRPr="006A7B85">
        <w:rPr>
          <w:sz w:val="21"/>
          <w:szCs w:val="21"/>
          <w:shd w:val="clear" w:color="auto" w:fill="FFFFFF"/>
        </w:rPr>
        <w:t>In the UK, total use in pigs is 200 times than in sheep (even though there are 7</w:t>
      </w:r>
      <w:r w:rsidR="006A7B85">
        <w:rPr>
          <w:sz w:val="21"/>
          <w:szCs w:val="21"/>
          <w:shd w:val="clear" w:color="auto" w:fill="FFFFFF"/>
        </w:rPr>
        <w:t>x more</w:t>
      </w:r>
      <w:r w:rsidRPr="006A7B85">
        <w:rPr>
          <w:sz w:val="21"/>
          <w:szCs w:val="21"/>
          <w:shd w:val="clear" w:color="auto" w:fill="FFFFFF"/>
        </w:rPr>
        <w:t xml:space="preserve"> sheep </w:t>
      </w:r>
      <w:r w:rsidR="006A7B85">
        <w:rPr>
          <w:sz w:val="21"/>
          <w:szCs w:val="21"/>
          <w:shd w:val="clear" w:color="auto" w:fill="FFFFFF"/>
        </w:rPr>
        <w:t>than</w:t>
      </w:r>
      <w:r w:rsidRPr="006A7B85">
        <w:rPr>
          <w:sz w:val="21"/>
          <w:szCs w:val="21"/>
          <w:shd w:val="clear" w:color="auto" w:fill="FFFFFF"/>
        </w:rPr>
        <w:t xml:space="preserve"> pigs). </w:t>
      </w:r>
    </w:p>
    <w:p w:rsidR="00BA5378" w:rsidRPr="006A7B85" w:rsidRDefault="00BA5378" w:rsidP="00BA5378">
      <w:pPr>
        <w:pStyle w:val="NoSpacing"/>
        <w:ind w:left="720"/>
        <w:rPr>
          <w:sz w:val="21"/>
          <w:szCs w:val="21"/>
          <w:shd w:val="clear" w:color="auto" w:fill="FFFFFF"/>
        </w:rPr>
      </w:pPr>
    </w:p>
    <w:p w:rsidR="00C36D3B" w:rsidRPr="006A7B85" w:rsidRDefault="00C36D3B" w:rsidP="00BA5378">
      <w:pPr>
        <w:pStyle w:val="NoSpacing"/>
        <w:numPr>
          <w:ilvl w:val="0"/>
          <w:numId w:val="1"/>
        </w:numPr>
        <w:rPr>
          <w:sz w:val="21"/>
          <w:szCs w:val="21"/>
          <w:shd w:val="clear" w:color="auto" w:fill="FFFFFF"/>
        </w:rPr>
      </w:pPr>
      <w:r w:rsidRPr="006A7B85">
        <w:rPr>
          <w:sz w:val="21"/>
          <w:szCs w:val="21"/>
        </w:rPr>
        <w:t>Cattle raised outdoors for beef also generally have very low antibiotic use in comparison to species like pigs and poultry.</w:t>
      </w:r>
      <w:r w:rsidRPr="006A7B85">
        <w:rPr>
          <w:i/>
          <w:iCs/>
          <w:sz w:val="21"/>
          <w:szCs w:val="21"/>
        </w:rPr>
        <w:t xml:space="preserve"> </w:t>
      </w:r>
      <w:r w:rsidR="00BA5378" w:rsidRPr="006A7B85">
        <w:rPr>
          <w:iCs/>
          <w:sz w:val="21"/>
          <w:szCs w:val="21"/>
        </w:rPr>
        <w:t>Contrastingly, i</w:t>
      </w:r>
      <w:r w:rsidRPr="006A7B85">
        <w:rPr>
          <w:sz w:val="21"/>
          <w:szCs w:val="21"/>
          <w:shd w:val="clear" w:color="auto" w:fill="FFFFFF"/>
        </w:rPr>
        <w:t xml:space="preserve">n the Netherlands and some other European countries where calves are farmed very intensively, calves can receive even higher levels of antibiotics than pigs. </w:t>
      </w:r>
    </w:p>
    <w:p w:rsidR="00C36D3B" w:rsidRPr="006A7B85" w:rsidRDefault="00C36D3B" w:rsidP="00C36D3B">
      <w:pPr>
        <w:pStyle w:val="ListParagraph"/>
        <w:rPr>
          <w:color w:val="212121"/>
          <w:sz w:val="21"/>
          <w:szCs w:val="21"/>
          <w:shd w:val="clear" w:color="auto" w:fill="FFFFFF"/>
        </w:rPr>
      </w:pPr>
    </w:p>
    <w:p w:rsidR="00D97F68" w:rsidRPr="00420193" w:rsidRDefault="006A7B85" w:rsidP="00420193">
      <w:pPr>
        <w:pStyle w:val="ListParagraph"/>
        <w:numPr>
          <w:ilvl w:val="0"/>
          <w:numId w:val="1"/>
        </w:numPr>
        <w:shd w:val="clear" w:color="auto" w:fill="FFFFFF"/>
        <w:spacing w:after="0" w:line="240" w:lineRule="auto"/>
        <w:rPr>
          <w:sz w:val="21"/>
          <w:szCs w:val="21"/>
        </w:rPr>
      </w:pPr>
      <w:r w:rsidRPr="00F96179">
        <w:rPr>
          <w:sz w:val="21"/>
          <w:szCs w:val="21"/>
        </w:rPr>
        <w:lastRenderedPageBreak/>
        <w:t xml:space="preserve">Pigs and poultry are the animals most likely to be reared in </w:t>
      </w:r>
      <w:r w:rsidR="00F96179">
        <w:rPr>
          <w:sz w:val="21"/>
          <w:szCs w:val="21"/>
        </w:rPr>
        <w:t>intensive</w:t>
      </w:r>
      <w:r w:rsidRPr="00F96179">
        <w:rPr>
          <w:sz w:val="21"/>
          <w:szCs w:val="21"/>
        </w:rPr>
        <w:t xml:space="preserve"> conditions. </w:t>
      </w:r>
      <w:r w:rsidRPr="00F96179">
        <w:rPr>
          <w:sz w:val="21"/>
          <w:szCs w:val="21"/>
          <w:shd w:val="clear" w:color="auto" w:fill="FFFFFF"/>
        </w:rPr>
        <w:t>Pigs account for the majority of farm-antibiotic usage in the UK</w:t>
      </w:r>
      <w:r w:rsidR="00F96179" w:rsidRPr="00F96179">
        <w:rPr>
          <w:sz w:val="21"/>
          <w:szCs w:val="21"/>
          <w:shd w:val="clear" w:color="auto" w:fill="FFFFFF"/>
        </w:rPr>
        <w:t xml:space="preserve"> (for around </w:t>
      </w:r>
      <w:r w:rsidRPr="00F96179">
        <w:rPr>
          <w:sz w:val="21"/>
          <w:szCs w:val="21"/>
        </w:rPr>
        <w:t>60% of the tonnage of antibiotics (active ingredient) sold in the UK</w:t>
      </w:r>
      <w:r w:rsidR="00F96179" w:rsidRPr="00F96179">
        <w:rPr>
          <w:sz w:val="21"/>
          <w:szCs w:val="21"/>
        </w:rPr>
        <w:t xml:space="preserve"> in 2008).</w:t>
      </w:r>
      <w:r w:rsidR="00F96179">
        <w:rPr>
          <w:sz w:val="21"/>
          <w:szCs w:val="21"/>
        </w:rPr>
        <w:t xml:space="preserve"> </w:t>
      </w:r>
      <w:r w:rsidR="00F96179" w:rsidRPr="00F96179">
        <w:rPr>
          <w:sz w:val="21"/>
          <w:szCs w:val="21"/>
        </w:rPr>
        <w:t xml:space="preserve">The use of medicated feed is most common in intensive production. Around 85% of farm antibiotic administration in the UK is through mass medication, </w:t>
      </w:r>
      <w:r w:rsidR="00420193">
        <w:rPr>
          <w:sz w:val="21"/>
          <w:szCs w:val="21"/>
        </w:rPr>
        <w:t>mostly for pigs and poultry.</w:t>
      </w:r>
      <w:r w:rsidR="00420193">
        <w:rPr>
          <w:rStyle w:val="FootnoteReference"/>
          <w:sz w:val="21"/>
          <w:szCs w:val="21"/>
        </w:rPr>
        <w:footnoteReference w:id="9"/>
      </w:r>
    </w:p>
    <w:p w:rsidR="00F96179" w:rsidRPr="00ED3DCC" w:rsidRDefault="00F96179" w:rsidP="00F96179">
      <w:pPr>
        <w:shd w:val="clear" w:color="auto" w:fill="FFFFFF"/>
        <w:spacing w:after="0" w:line="240" w:lineRule="auto"/>
        <w:rPr>
          <w:sz w:val="21"/>
          <w:szCs w:val="21"/>
        </w:rPr>
      </w:pPr>
    </w:p>
    <w:p w:rsidR="00377890" w:rsidRPr="00ED3DCC" w:rsidRDefault="00ED3DCC" w:rsidP="00377890">
      <w:pPr>
        <w:pStyle w:val="ListParagraph"/>
        <w:numPr>
          <w:ilvl w:val="0"/>
          <w:numId w:val="1"/>
        </w:numPr>
        <w:shd w:val="clear" w:color="auto" w:fill="FFFFFF"/>
        <w:spacing w:after="0" w:line="240" w:lineRule="auto"/>
        <w:rPr>
          <w:rFonts w:eastAsia="Times New Roman" w:cs="Segoe UI"/>
          <w:sz w:val="21"/>
          <w:szCs w:val="21"/>
          <w:lang w:eastAsia="en-GB"/>
        </w:rPr>
      </w:pPr>
      <w:r w:rsidRPr="00ED3DCC">
        <w:rPr>
          <w:rFonts w:eastAsia="Times New Roman" w:cs="Segoe UI"/>
          <w:sz w:val="21"/>
          <w:szCs w:val="21"/>
          <w:lang w:eastAsia="en-GB"/>
        </w:rPr>
        <w:t>A</w:t>
      </w:r>
      <w:r w:rsidR="00377890" w:rsidRPr="00ED3DCC">
        <w:rPr>
          <w:rFonts w:eastAsia="Times New Roman" w:cs="Segoe UI"/>
          <w:sz w:val="21"/>
          <w:szCs w:val="21"/>
          <w:lang w:eastAsia="en-GB"/>
        </w:rPr>
        <w:t xml:space="preserve"> Defra survey of about 450 farms, which was published in 2012, found that about 85% of</w:t>
      </w:r>
      <w:r w:rsidRPr="00ED3DCC">
        <w:rPr>
          <w:rFonts w:eastAsia="Times New Roman" w:cs="Segoe UI"/>
          <w:sz w:val="21"/>
          <w:szCs w:val="21"/>
          <w:lang w:eastAsia="en-GB"/>
        </w:rPr>
        <w:t xml:space="preserve"> non-organic farms used routine (</w:t>
      </w:r>
      <w:proofErr w:type="spellStart"/>
      <w:r w:rsidRPr="00ED3DCC">
        <w:rPr>
          <w:rFonts w:eastAsia="Times New Roman" w:cs="Segoe UI"/>
          <w:sz w:val="21"/>
          <w:szCs w:val="21"/>
          <w:lang w:eastAsia="en-GB"/>
        </w:rPr>
        <w:t>ie</w:t>
      </w:r>
      <w:proofErr w:type="spellEnd"/>
      <w:r w:rsidRPr="00ED3DCC">
        <w:rPr>
          <w:rFonts w:eastAsia="Times New Roman" w:cs="Segoe UI"/>
          <w:sz w:val="21"/>
          <w:szCs w:val="21"/>
          <w:lang w:eastAsia="en-GB"/>
        </w:rPr>
        <w:t xml:space="preserve">. no somatic cell count) </w:t>
      </w:r>
      <w:r w:rsidR="00377890" w:rsidRPr="00ED3DCC">
        <w:rPr>
          <w:rFonts w:eastAsia="Times New Roman" w:cs="Segoe UI"/>
          <w:sz w:val="21"/>
          <w:szCs w:val="21"/>
          <w:lang w:eastAsia="en-GB"/>
        </w:rPr>
        <w:t xml:space="preserve">dry-cow therapy, </w:t>
      </w:r>
      <w:r w:rsidRPr="00ED3DCC">
        <w:rPr>
          <w:rFonts w:eastAsia="Times New Roman" w:cs="Segoe UI"/>
          <w:sz w:val="21"/>
          <w:szCs w:val="21"/>
          <w:lang w:eastAsia="en-GB"/>
        </w:rPr>
        <w:t>(infusion of antibiotics in</w:t>
      </w:r>
      <w:r w:rsidR="008059A9">
        <w:rPr>
          <w:rFonts w:eastAsia="Times New Roman" w:cs="Segoe UI"/>
          <w:sz w:val="21"/>
          <w:szCs w:val="21"/>
          <w:lang w:eastAsia="en-GB"/>
        </w:rPr>
        <w:t xml:space="preserve">to </w:t>
      </w:r>
      <w:r>
        <w:rPr>
          <w:rFonts w:eastAsia="Times New Roman" w:cs="Segoe UI"/>
          <w:sz w:val="21"/>
          <w:szCs w:val="21"/>
          <w:lang w:eastAsia="en-GB"/>
        </w:rPr>
        <w:t>the udder)</w:t>
      </w:r>
      <w:r>
        <w:rPr>
          <w:rStyle w:val="FootnoteReference"/>
          <w:rFonts w:eastAsia="Times New Roman" w:cs="Segoe UI"/>
          <w:sz w:val="21"/>
          <w:szCs w:val="21"/>
          <w:lang w:eastAsia="en-GB"/>
        </w:rPr>
        <w:footnoteReference w:id="10"/>
      </w:r>
    </w:p>
    <w:p w:rsidR="00377890" w:rsidRPr="00377890" w:rsidRDefault="00377890" w:rsidP="00377890">
      <w:pPr>
        <w:pStyle w:val="ListParagraph"/>
        <w:shd w:val="clear" w:color="auto" w:fill="FFFFFF"/>
        <w:spacing w:after="0" w:line="240" w:lineRule="auto"/>
        <w:ind w:left="360"/>
        <w:rPr>
          <w:rFonts w:eastAsia="Times New Roman" w:cs="Segoe UI"/>
          <w:color w:val="212121"/>
          <w:sz w:val="21"/>
          <w:szCs w:val="21"/>
          <w:lang w:eastAsia="en-GB"/>
        </w:rPr>
      </w:pPr>
    </w:p>
    <w:p w:rsidR="00ED3DCC" w:rsidRDefault="00ED3DCC" w:rsidP="00AA7B23">
      <w:pPr>
        <w:pStyle w:val="ListParagraph"/>
        <w:numPr>
          <w:ilvl w:val="0"/>
          <w:numId w:val="1"/>
        </w:numPr>
        <w:shd w:val="clear" w:color="auto" w:fill="FFFFFF"/>
        <w:spacing w:after="0" w:line="240" w:lineRule="auto"/>
        <w:rPr>
          <w:rFonts w:eastAsia="Times New Roman" w:cs="Segoe UI"/>
          <w:color w:val="212121"/>
          <w:sz w:val="21"/>
          <w:szCs w:val="21"/>
          <w:lang w:eastAsia="en-GB"/>
        </w:rPr>
      </w:pPr>
      <w:r>
        <w:rPr>
          <w:rFonts w:eastAsia="Times New Roman" w:cs="Segoe UI"/>
          <w:color w:val="212121"/>
          <w:sz w:val="21"/>
          <w:szCs w:val="21"/>
          <w:lang w:eastAsia="en-GB"/>
        </w:rPr>
        <w:t xml:space="preserve">The study states: </w:t>
      </w:r>
      <w:r w:rsidRPr="00ED3DCC">
        <w:rPr>
          <w:rFonts w:eastAsia="Times New Roman" w:cs="Segoe UI"/>
          <w:color w:val="212121"/>
          <w:sz w:val="21"/>
          <w:szCs w:val="21"/>
          <w:lang w:eastAsia="en-GB"/>
        </w:rPr>
        <w:t>"</w:t>
      </w:r>
      <w:r w:rsidRPr="00ED3DCC">
        <w:rPr>
          <w:rFonts w:eastAsia="Times New Roman" w:cs="Segoe UI"/>
          <w:color w:val="000000"/>
          <w:sz w:val="21"/>
          <w:szCs w:val="21"/>
          <w:shd w:val="clear" w:color="auto" w:fill="FFFFFF"/>
          <w:lang w:eastAsia="en-GB"/>
        </w:rPr>
        <w:t>Overall, this study suggests that characteristics that are related to intensification of the dairy industry are also associated with high on-f</w:t>
      </w:r>
      <w:r>
        <w:rPr>
          <w:rFonts w:eastAsia="Times New Roman" w:cs="Segoe UI"/>
          <w:color w:val="000000"/>
          <w:sz w:val="21"/>
          <w:szCs w:val="21"/>
          <w:shd w:val="clear" w:color="auto" w:fill="FFFFFF"/>
          <w:lang w:eastAsia="en-GB"/>
        </w:rPr>
        <w:t>arm mortality of dairy cows".</w:t>
      </w:r>
      <w:r>
        <w:rPr>
          <w:rStyle w:val="FootnoteReference"/>
          <w:rFonts w:eastAsia="Times New Roman" w:cs="Segoe UI"/>
          <w:color w:val="000000"/>
          <w:sz w:val="21"/>
          <w:szCs w:val="21"/>
          <w:shd w:val="clear" w:color="auto" w:fill="FFFFFF"/>
          <w:lang w:eastAsia="en-GB"/>
        </w:rPr>
        <w:footnoteReference w:id="11"/>
      </w:r>
      <w:r>
        <w:rPr>
          <w:rFonts w:eastAsia="Times New Roman" w:cs="Segoe UI"/>
          <w:color w:val="000000"/>
          <w:sz w:val="21"/>
          <w:szCs w:val="21"/>
          <w:shd w:val="clear" w:color="auto" w:fill="FFFFFF"/>
          <w:lang w:eastAsia="en-GB"/>
        </w:rPr>
        <w:t xml:space="preserve"> </w:t>
      </w:r>
      <w:r w:rsidR="00420193" w:rsidRPr="00420193">
        <w:rPr>
          <w:rFonts w:eastAsia="Times New Roman" w:cs="Segoe UI"/>
          <w:sz w:val="21"/>
          <w:szCs w:val="21"/>
          <w:shd w:val="clear" w:color="auto" w:fill="FFFFFF"/>
          <w:lang w:eastAsia="en-GB"/>
        </w:rPr>
        <w:t>F</w:t>
      </w:r>
      <w:r w:rsidRPr="00420193">
        <w:rPr>
          <w:rFonts w:eastAsia="Times New Roman" w:cs="Segoe UI"/>
          <w:sz w:val="21"/>
          <w:szCs w:val="21"/>
          <w:lang w:eastAsia="en-GB"/>
        </w:rPr>
        <w:t>arms that allow their dairy cows to have more access to pasture have lower mortality, as do smaller herds.</w:t>
      </w:r>
      <w:r w:rsidRPr="00420193">
        <w:rPr>
          <w:rStyle w:val="FootnoteReference"/>
          <w:rFonts w:eastAsia="Times New Roman" w:cs="Segoe UI"/>
          <w:sz w:val="21"/>
          <w:szCs w:val="21"/>
          <w:lang w:eastAsia="en-GB"/>
        </w:rPr>
        <w:footnoteReference w:id="12"/>
      </w:r>
    </w:p>
    <w:p w:rsidR="00420193" w:rsidRDefault="00420193" w:rsidP="00C36D3B">
      <w:pPr>
        <w:shd w:val="clear" w:color="auto" w:fill="FFFFFF"/>
        <w:spacing w:after="0" w:line="240" w:lineRule="auto"/>
        <w:rPr>
          <w:b/>
          <w:sz w:val="21"/>
          <w:szCs w:val="21"/>
        </w:rPr>
      </w:pPr>
    </w:p>
    <w:p w:rsidR="00420193" w:rsidRDefault="005C0271" w:rsidP="00C36D3B">
      <w:pPr>
        <w:shd w:val="clear" w:color="auto" w:fill="FFFFFF"/>
        <w:spacing w:after="0" w:line="240" w:lineRule="auto"/>
        <w:rPr>
          <w:sz w:val="21"/>
          <w:szCs w:val="21"/>
        </w:rPr>
      </w:pPr>
      <w:r w:rsidRPr="005C0271">
        <w:rPr>
          <w:b/>
          <w:sz w:val="21"/>
          <w:szCs w:val="21"/>
        </w:rPr>
        <w:t xml:space="preserve">Farm antibiotic use and </w:t>
      </w:r>
      <w:r>
        <w:rPr>
          <w:b/>
          <w:sz w:val="21"/>
          <w:szCs w:val="21"/>
        </w:rPr>
        <w:t>the emergence of resistant bacteria</w:t>
      </w:r>
    </w:p>
    <w:p w:rsidR="001E4305" w:rsidRDefault="001E4305" w:rsidP="00C36D3B">
      <w:pPr>
        <w:shd w:val="clear" w:color="auto" w:fill="FFFFFF"/>
        <w:spacing w:after="0" w:line="240" w:lineRule="auto"/>
        <w:rPr>
          <w:sz w:val="21"/>
          <w:szCs w:val="21"/>
        </w:rPr>
      </w:pPr>
    </w:p>
    <w:p w:rsidR="005C0271" w:rsidRDefault="000A65D6" w:rsidP="00C36D3B">
      <w:pPr>
        <w:pStyle w:val="ListParagraph"/>
        <w:numPr>
          <w:ilvl w:val="0"/>
          <w:numId w:val="1"/>
        </w:numPr>
        <w:shd w:val="clear" w:color="auto" w:fill="FFFFFF"/>
        <w:spacing w:after="0" w:line="240" w:lineRule="auto"/>
        <w:rPr>
          <w:sz w:val="21"/>
          <w:szCs w:val="21"/>
        </w:rPr>
      </w:pPr>
      <w:r w:rsidRPr="005C0271">
        <w:rPr>
          <w:sz w:val="21"/>
          <w:szCs w:val="21"/>
        </w:rPr>
        <w:t xml:space="preserve">The link between </w:t>
      </w:r>
      <w:r>
        <w:rPr>
          <w:sz w:val="21"/>
          <w:szCs w:val="21"/>
        </w:rPr>
        <w:t xml:space="preserve">farm </w:t>
      </w:r>
      <w:r w:rsidRPr="005C0271">
        <w:rPr>
          <w:sz w:val="21"/>
          <w:szCs w:val="21"/>
        </w:rPr>
        <w:t xml:space="preserve">antibiotic usage and </w:t>
      </w:r>
      <w:r>
        <w:rPr>
          <w:sz w:val="21"/>
          <w:szCs w:val="21"/>
        </w:rPr>
        <w:t>the emergence of resistance</w:t>
      </w:r>
      <w:r w:rsidRPr="005C0271">
        <w:rPr>
          <w:sz w:val="21"/>
          <w:szCs w:val="21"/>
        </w:rPr>
        <w:t xml:space="preserve"> </w:t>
      </w:r>
      <w:r>
        <w:rPr>
          <w:sz w:val="21"/>
          <w:szCs w:val="21"/>
        </w:rPr>
        <w:t>been widely confirmed by scientists and Government officials</w:t>
      </w:r>
      <w:r w:rsidRPr="005C0271">
        <w:rPr>
          <w:sz w:val="21"/>
          <w:szCs w:val="21"/>
        </w:rPr>
        <w:t xml:space="preserve">. </w:t>
      </w:r>
      <w:r w:rsidR="005C0271" w:rsidRPr="005C0271">
        <w:rPr>
          <w:sz w:val="21"/>
          <w:szCs w:val="21"/>
        </w:rPr>
        <w:t xml:space="preserve">Studies of animals from different farms have shown that higher antibiotic usage in animals equals higher antibiotic resistance, and that pig and poultry farms that do not routinely use antibiotics tend to have lower levels of resistant bacteria. </w:t>
      </w:r>
      <w:r w:rsidR="005C0271" w:rsidRPr="005C0271">
        <w:rPr>
          <w:rStyle w:val="FootnoteReference"/>
          <w:sz w:val="21"/>
          <w:szCs w:val="21"/>
        </w:rPr>
        <w:footnoteReference w:id="13"/>
      </w:r>
      <w:r w:rsidR="005C0271" w:rsidRPr="005C0271">
        <w:rPr>
          <w:sz w:val="21"/>
          <w:szCs w:val="21"/>
        </w:rPr>
        <w:t xml:space="preserve"> </w:t>
      </w:r>
      <w:r w:rsidR="005C0271" w:rsidRPr="005C0271">
        <w:rPr>
          <w:rStyle w:val="FootnoteReference"/>
          <w:sz w:val="21"/>
          <w:szCs w:val="21"/>
        </w:rPr>
        <w:footnoteReference w:id="14"/>
      </w:r>
      <w:r w:rsidR="005C0271" w:rsidRPr="005C0271">
        <w:rPr>
          <w:sz w:val="21"/>
          <w:szCs w:val="21"/>
        </w:rPr>
        <w:t xml:space="preserve"> </w:t>
      </w:r>
    </w:p>
    <w:p w:rsidR="005C0271" w:rsidRPr="000A65D6" w:rsidRDefault="005C0271" w:rsidP="005C0271">
      <w:pPr>
        <w:pStyle w:val="ListParagraph"/>
        <w:rPr>
          <w:sz w:val="21"/>
          <w:szCs w:val="21"/>
        </w:rPr>
      </w:pPr>
    </w:p>
    <w:p w:rsidR="000A65D6" w:rsidRPr="000A65D6" w:rsidRDefault="000A65D6" w:rsidP="0042622E">
      <w:pPr>
        <w:pStyle w:val="ListParagraph"/>
        <w:numPr>
          <w:ilvl w:val="0"/>
          <w:numId w:val="1"/>
        </w:numPr>
        <w:shd w:val="clear" w:color="auto" w:fill="FFFFFF"/>
        <w:spacing w:after="0" w:line="240" w:lineRule="auto"/>
        <w:rPr>
          <w:sz w:val="21"/>
          <w:szCs w:val="21"/>
        </w:rPr>
      </w:pPr>
      <w:r w:rsidRPr="000A65D6">
        <w:rPr>
          <w:sz w:val="21"/>
          <w:szCs w:val="21"/>
        </w:rPr>
        <w:t>MRSA provides a useful example: A</w:t>
      </w:r>
      <w:r w:rsidR="00BA5378" w:rsidRPr="000A65D6">
        <w:rPr>
          <w:sz w:val="21"/>
          <w:szCs w:val="21"/>
        </w:rPr>
        <w:t xml:space="preserve"> study of veal farms in t</w:t>
      </w:r>
      <w:r>
        <w:rPr>
          <w:sz w:val="21"/>
          <w:szCs w:val="21"/>
        </w:rPr>
        <w:t>he Netherlands</w:t>
      </w:r>
      <w:r w:rsidR="00BA5378" w:rsidRPr="000A65D6">
        <w:rPr>
          <w:sz w:val="21"/>
          <w:szCs w:val="21"/>
        </w:rPr>
        <w:t xml:space="preserve"> </w:t>
      </w:r>
      <w:r>
        <w:rPr>
          <w:sz w:val="21"/>
          <w:szCs w:val="21"/>
        </w:rPr>
        <w:t xml:space="preserve">in 2010 </w:t>
      </w:r>
      <w:r w:rsidR="00BA5378" w:rsidRPr="000A65D6">
        <w:rPr>
          <w:sz w:val="21"/>
          <w:szCs w:val="21"/>
        </w:rPr>
        <w:t>showed that calves group-treated with antibiotics were more likely to be carriers of MRSA than calves that were not group-treated.</w:t>
      </w:r>
      <w:r w:rsidRPr="000A65D6">
        <w:rPr>
          <w:sz w:val="21"/>
          <w:szCs w:val="21"/>
        </w:rPr>
        <w:t xml:space="preserve"> When MRSA ST398 also emerged, it was found that calves on large farms were ‘significantly more often colonised [by MRSA] compared to calves from smaller farms. </w:t>
      </w:r>
      <w:r w:rsidRPr="000A65D6">
        <w:rPr>
          <w:rStyle w:val="FootnoteReference"/>
          <w:sz w:val="21"/>
          <w:szCs w:val="21"/>
        </w:rPr>
        <w:footnoteReference w:id="15"/>
      </w:r>
    </w:p>
    <w:p w:rsidR="000A65D6" w:rsidRDefault="000A65D6" w:rsidP="000A65D6">
      <w:pPr>
        <w:pStyle w:val="ListParagraph"/>
      </w:pPr>
    </w:p>
    <w:p w:rsidR="000A65D6" w:rsidRDefault="00BA5378" w:rsidP="00C36D3B">
      <w:pPr>
        <w:pStyle w:val="ListParagraph"/>
        <w:numPr>
          <w:ilvl w:val="0"/>
          <w:numId w:val="1"/>
        </w:numPr>
        <w:shd w:val="clear" w:color="auto" w:fill="FFFFFF"/>
        <w:spacing w:after="0" w:line="240" w:lineRule="auto"/>
        <w:rPr>
          <w:sz w:val="21"/>
          <w:szCs w:val="21"/>
        </w:rPr>
      </w:pPr>
      <w:r w:rsidRPr="000A65D6">
        <w:rPr>
          <w:sz w:val="21"/>
          <w:szCs w:val="21"/>
        </w:rPr>
        <w:t>EFSA reported that large pig farms were twice as likely to be MRSA-positive as smaller farms and that this might reflect ‘managerial practices typical of larger holdings’</w:t>
      </w:r>
      <w:r w:rsidR="000A65D6">
        <w:rPr>
          <w:rStyle w:val="FootnoteReference"/>
          <w:sz w:val="21"/>
          <w:szCs w:val="21"/>
        </w:rPr>
        <w:footnoteReference w:id="16"/>
      </w:r>
      <w:r w:rsidRPr="000A65D6">
        <w:rPr>
          <w:sz w:val="21"/>
          <w:szCs w:val="21"/>
        </w:rPr>
        <w:t xml:space="preserve">; </w:t>
      </w:r>
      <w:proofErr w:type="spellStart"/>
      <w:r w:rsidR="000A65D6">
        <w:rPr>
          <w:sz w:val="21"/>
          <w:szCs w:val="21"/>
        </w:rPr>
        <w:t>ie</w:t>
      </w:r>
      <w:proofErr w:type="spellEnd"/>
      <w:r w:rsidRPr="000A65D6">
        <w:rPr>
          <w:sz w:val="21"/>
          <w:szCs w:val="21"/>
        </w:rPr>
        <w:t xml:space="preserve"> higher levels of stress among animals, more transport of animals, more opportunities for transmission of bacteria and more use of antibiotics. </w:t>
      </w:r>
    </w:p>
    <w:p w:rsidR="000A65D6" w:rsidRPr="000A65D6" w:rsidRDefault="000A65D6" w:rsidP="000A65D6">
      <w:pPr>
        <w:pStyle w:val="ListParagraph"/>
        <w:rPr>
          <w:sz w:val="21"/>
          <w:szCs w:val="21"/>
        </w:rPr>
      </w:pPr>
    </w:p>
    <w:p w:rsidR="000A65D6" w:rsidRPr="000A65D6" w:rsidRDefault="00BA5378" w:rsidP="00BA5378">
      <w:pPr>
        <w:pStyle w:val="ListParagraph"/>
        <w:numPr>
          <w:ilvl w:val="0"/>
          <w:numId w:val="1"/>
        </w:numPr>
        <w:shd w:val="clear" w:color="auto" w:fill="FFFFFF"/>
        <w:spacing w:after="0" w:line="240" w:lineRule="auto"/>
        <w:rPr>
          <w:sz w:val="21"/>
          <w:szCs w:val="21"/>
        </w:rPr>
      </w:pPr>
      <w:r w:rsidRPr="000A65D6">
        <w:rPr>
          <w:sz w:val="21"/>
          <w:szCs w:val="21"/>
        </w:rPr>
        <w:t xml:space="preserve">A Dutch study of 2007-2008 also found that larger pig breeding farms (over 500 sows) were twice as likely to be positive for ‘pig’ MRSA as were </w:t>
      </w:r>
      <w:r w:rsidR="000A65D6" w:rsidRPr="000A65D6">
        <w:rPr>
          <w:sz w:val="21"/>
          <w:szCs w:val="21"/>
        </w:rPr>
        <w:t>smaller farms (under 250 sows).</w:t>
      </w:r>
      <w:r w:rsidR="000A65D6" w:rsidRPr="000A65D6">
        <w:rPr>
          <w:rStyle w:val="FootnoteReference"/>
          <w:sz w:val="21"/>
          <w:szCs w:val="21"/>
        </w:rPr>
        <w:footnoteReference w:id="17"/>
      </w:r>
    </w:p>
    <w:p w:rsidR="000A65D6" w:rsidRPr="000A65D6" w:rsidRDefault="000A65D6" w:rsidP="000A65D6">
      <w:pPr>
        <w:pStyle w:val="ListParagraph"/>
        <w:rPr>
          <w:rFonts w:ascii="Calibri" w:eastAsia="Times New Roman" w:hAnsi="Calibri" w:cs="Segoe UI"/>
          <w:sz w:val="21"/>
          <w:szCs w:val="21"/>
          <w:lang w:eastAsia="en-GB"/>
        </w:rPr>
      </w:pPr>
    </w:p>
    <w:p w:rsidR="00BA5378" w:rsidRPr="008822F8" w:rsidRDefault="000A65D6" w:rsidP="00BA5378">
      <w:pPr>
        <w:pStyle w:val="ListParagraph"/>
        <w:numPr>
          <w:ilvl w:val="0"/>
          <w:numId w:val="1"/>
        </w:numPr>
        <w:shd w:val="clear" w:color="auto" w:fill="FFFFFF"/>
        <w:spacing w:after="0" w:line="240" w:lineRule="auto"/>
        <w:rPr>
          <w:sz w:val="21"/>
          <w:szCs w:val="21"/>
        </w:rPr>
      </w:pPr>
      <w:r w:rsidRPr="000A65D6">
        <w:rPr>
          <w:rFonts w:ascii="Calibri" w:eastAsia="Times New Roman" w:hAnsi="Calibri" w:cs="Segoe UI"/>
          <w:sz w:val="21"/>
          <w:szCs w:val="21"/>
          <w:lang w:eastAsia="en-GB"/>
        </w:rPr>
        <w:t xml:space="preserve">A </w:t>
      </w:r>
      <w:r w:rsidR="00BA5378" w:rsidRPr="000A65D6">
        <w:rPr>
          <w:rFonts w:ascii="Calibri" w:eastAsia="Times New Roman" w:hAnsi="Calibri" w:cs="Segoe UI"/>
          <w:sz w:val="21"/>
          <w:szCs w:val="21"/>
          <w:lang w:eastAsia="en-GB"/>
        </w:rPr>
        <w:t xml:space="preserve">review by Danish government scientist Frank </w:t>
      </w:r>
      <w:proofErr w:type="spellStart"/>
      <w:r w:rsidR="00BA5378" w:rsidRPr="000A65D6">
        <w:rPr>
          <w:rFonts w:ascii="Calibri" w:eastAsia="Times New Roman" w:hAnsi="Calibri" w:cs="Segoe UI"/>
          <w:sz w:val="21"/>
          <w:szCs w:val="21"/>
          <w:lang w:eastAsia="en-GB"/>
        </w:rPr>
        <w:t>Aarestrup</w:t>
      </w:r>
      <w:proofErr w:type="spellEnd"/>
      <w:r w:rsidR="00BA5378" w:rsidRPr="000A65D6">
        <w:rPr>
          <w:rFonts w:ascii="Calibri" w:eastAsia="Times New Roman" w:hAnsi="Calibri" w:cs="Segoe UI"/>
          <w:sz w:val="21"/>
          <w:szCs w:val="21"/>
          <w:lang w:eastAsia="en-GB"/>
        </w:rPr>
        <w:t xml:space="preserve"> </w:t>
      </w:r>
      <w:r>
        <w:rPr>
          <w:rFonts w:ascii="Calibri" w:eastAsia="Times New Roman" w:hAnsi="Calibri" w:cs="Segoe UI"/>
          <w:sz w:val="21"/>
          <w:szCs w:val="21"/>
          <w:lang w:eastAsia="en-GB"/>
        </w:rPr>
        <w:t>which highlights</w:t>
      </w:r>
      <w:r w:rsidR="00BA5378" w:rsidRPr="000A65D6">
        <w:rPr>
          <w:rFonts w:ascii="Calibri" w:eastAsia="Times New Roman" w:hAnsi="Calibri" w:cs="Segoe UI"/>
          <w:sz w:val="21"/>
          <w:szCs w:val="21"/>
          <w:lang w:eastAsia="en-GB"/>
        </w:rPr>
        <w:t xml:space="preserve"> the links between farm </w:t>
      </w:r>
      <w:r w:rsidR="00BA5378" w:rsidRPr="008822F8">
        <w:rPr>
          <w:rFonts w:ascii="Calibri" w:eastAsia="Times New Roman" w:hAnsi="Calibri" w:cs="Segoe UI"/>
          <w:sz w:val="21"/>
          <w:szCs w:val="21"/>
          <w:lang w:eastAsia="en-GB"/>
        </w:rPr>
        <w:t>antibiotic use and resistance in human in</w:t>
      </w:r>
      <w:r w:rsidRPr="008822F8">
        <w:rPr>
          <w:rFonts w:ascii="Calibri" w:eastAsia="Times New Roman" w:hAnsi="Calibri" w:cs="Segoe UI"/>
          <w:sz w:val="21"/>
          <w:szCs w:val="21"/>
          <w:lang w:eastAsia="en-GB"/>
        </w:rPr>
        <w:t>fections</w:t>
      </w:r>
      <w:r w:rsidR="00BA5378" w:rsidRPr="008822F8">
        <w:rPr>
          <w:rFonts w:ascii="Calibri" w:eastAsia="Times New Roman" w:hAnsi="Calibri" w:cs="Segoe UI"/>
          <w:sz w:val="21"/>
          <w:szCs w:val="21"/>
          <w:lang w:eastAsia="en-GB"/>
        </w:rPr>
        <w:t xml:space="preserve"> </w:t>
      </w:r>
      <w:r w:rsidRPr="008822F8">
        <w:rPr>
          <w:rFonts w:ascii="Calibri" w:eastAsia="Times New Roman" w:hAnsi="Calibri" w:cs="Segoe UI"/>
          <w:sz w:val="21"/>
          <w:szCs w:val="21"/>
          <w:lang w:eastAsia="en-GB"/>
        </w:rPr>
        <w:t>states:</w:t>
      </w:r>
      <w:r w:rsidR="00BA5378" w:rsidRPr="008822F8">
        <w:rPr>
          <w:rFonts w:ascii="Calibri" w:eastAsia="Times New Roman" w:hAnsi="Calibri" w:cs="Segoe UI"/>
          <w:sz w:val="21"/>
          <w:szCs w:val="21"/>
          <w:lang w:eastAsia="en-GB"/>
        </w:rPr>
        <w:t xml:space="preserve"> "Studies have</w:t>
      </w:r>
      <w:r w:rsidRPr="008822F8">
        <w:rPr>
          <w:rFonts w:ascii="Calibri" w:eastAsia="Times New Roman" w:hAnsi="Calibri" w:cs="Segoe UI"/>
          <w:sz w:val="21"/>
          <w:szCs w:val="21"/>
          <w:lang w:eastAsia="en-GB"/>
        </w:rPr>
        <w:t>…</w:t>
      </w:r>
      <w:r w:rsidR="00BA5378" w:rsidRPr="008822F8">
        <w:rPr>
          <w:rFonts w:ascii="Calibri" w:eastAsia="Times New Roman" w:hAnsi="Calibri" w:cs="Segoe UI"/>
          <w:sz w:val="21"/>
          <w:szCs w:val="21"/>
          <w:lang w:eastAsia="en-GB"/>
        </w:rPr>
        <w:t>shown that it is possible to substantially reduce the use of antimicrobial</w:t>
      </w:r>
      <w:r w:rsidR="008059A9">
        <w:rPr>
          <w:rFonts w:ascii="Calibri" w:eastAsia="Times New Roman" w:hAnsi="Calibri" w:cs="Segoe UI"/>
          <w:sz w:val="21"/>
          <w:szCs w:val="21"/>
          <w:lang w:eastAsia="en-GB"/>
        </w:rPr>
        <w:t>s</w:t>
      </w:r>
      <w:r w:rsidR="00BA5378" w:rsidRPr="008822F8">
        <w:rPr>
          <w:rFonts w:ascii="Calibri" w:eastAsia="Times New Roman" w:hAnsi="Calibri" w:cs="Segoe UI"/>
          <w:sz w:val="21"/>
          <w:szCs w:val="21"/>
          <w:lang w:eastAsia="en-GB"/>
        </w:rPr>
        <w:t xml:space="preserve"> in livestock production without</w:t>
      </w:r>
      <w:r w:rsidR="008059A9">
        <w:rPr>
          <w:rFonts w:ascii="Calibri" w:eastAsia="Times New Roman" w:hAnsi="Calibri" w:cs="Segoe UI"/>
          <w:sz w:val="21"/>
          <w:szCs w:val="21"/>
          <w:lang w:eastAsia="en-GB"/>
        </w:rPr>
        <w:t xml:space="preserve"> compromising animal welfare </w:t>
      </w:r>
      <w:r w:rsidR="00BA5378" w:rsidRPr="008822F8">
        <w:rPr>
          <w:rFonts w:ascii="Calibri" w:eastAsia="Times New Roman" w:hAnsi="Calibri" w:cs="Segoe UI"/>
          <w:sz w:val="21"/>
          <w:szCs w:val="21"/>
          <w:lang w:eastAsia="en-GB"/>
        </w:rPr>
        <w:t>or production".</w:t>
      </w:r>
      <w:r w:rsidRPr="008822F8">
        <w:rPr>
          <w:rStyle w:val="FootnoteReference"/>
          <w:rFonts w:ascii="Calibri" w:eastAsia="Times New Roman" w:hAnsi="Calibri" w:cs="Segoe UI"/>
          <w:sz w:val="21"/>
          <w:szCs w:val="21"/>
          <w:lang w:eastAsia="en-GB"/>
        </w:rPr>
        <w:footnoteReference w:id="18"/>
      </w:r>
    </w:p>
    <w:p w:rsidR="008822F8" w:rsidRPr="008822F8" w:rsidRDefault="008822F8" w:rsidP="008822F8">
      <w:pPr>
        <w:pStyle w:val="ListParagraph"/>
        <w:rPr>
          <w:sz w:val="21"/>
          <w:szCs w:val="21"/>
        </w:rPr>
      </w:pPr>
    </w:p>
    <w:p w:rsidR="00031C1D" w:rsidRPr="008059A9" w:rsidRDefault="008822F8" w:rsidP="008059A9">
      <w:pPr>
        <w:pStyle w:val="ListParagraph"/>
        <w:numPr>
          <w:ilvl w:val="0"/>
          <w:numId w:val="1"/>
        </w:numPr>
        <w:shd w:val="clear" w:color="auto" w:fill="FFFFFF"/>
        <w:spacing w:after="0" w:line="240" w:lineRule="auto"/>
        <w:rPr>
          <w:sz w:val="21"/>
          <w:szCs w:val="21"/>
        </w:rPr>
      </w:pPr>
      <w:r w:rsidRPr="008822F8">
        <w:rPr>
          <w:sz w:val="21"/>
          <w:szCs w:val="21"/>
          <w:shd w:val="clear" w:color="auto" w:fill="FFFFFF"/>
        </w:rPr>
        <w:t xml:space="preserve">A </w:t>
      </w:r>
      <w:hyperlink r:id="rId8" w:history="1">
        <w:r w:rsidRPr="008822F8">
          <w:rPr>
            <w:rStyle w:val="Hyperlink"/>
            <w:sz w:val="21"/>
            <w:szCs w:val="21"/>
            <w:shd w:val="clear" w:color="auto" w:fill="FFFFFF"/>
          </w:rPr>
          <w:t>Consumers Union report</w:t>
        </w:r>
      </w:hyperlink>
      <w:r w:rsidRPr="008822F8">
        <w:rPr>
          <w:sz w:val="21"/>
          <w:szCs w:val="21"/>
          <w:shd w:val="clear" w:color="auto" w:fill="FFFFFF"/>
        </w:rPr>
        <w:t xml:space="preserve"> found that beef from conventionally raised cows was more likely to have bacteria that are resistant to antibiotics than beef from sustainably raised cows. They found that18 percent of conventional beef samples were contaminated with superbugs with just 9 percent of beef from samples</w:t>
      </w:r>
      <w:r w:rsidR="008059A9">
        <w:rPr>
          <w:sz w:val="21"/>
          <w:szCs w:val="21"/>
          <w:shd w:val="clear" w:color="auto" w:fill="FFFFFF"/>
        </w:rPr>
        <w:t xml:space="preserve"> that were sustainably produced.</w:t>
      </w:r>
    </w:p>
    <w:sectPr w:rsidR="00031C1D" w:rsidRPr="008059A9" w:rsidSect="008059A9">
      <w:headerReference w:type="default" r:id="rId9"/>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4DF9" w:rsidRDefault="00024DF9" w:rsidP="00D32A0D">
      <w:pPr>
        <w:spacing w:after="0" w:line="240" w:lineRule="auto"/>
      </w:pPr>
      <w:r>
        <w:separator/>
      </w:r>
    </w:p>
  </w:endnote>
  <w:endnote w:type="continuationSeparator" w:id="0">
    <w:p w:rsidR="00024DF9" w:rsidRDefault="00024DF9" w:rsidP="00D32A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4DF9" w:rsidRDefault="00024DF9" w:rsidP="00D32A0D">
      <w:pPr>
        <w:spacing w:after="0" w:line="240" w:lineRule="auto"/>
      </w:pPr>
      <w:r>
        <w:separator/>
      </w:r>
    </w:p>
  </w:footnote>
  <w:footnote w:type="continuationSeparator" w:id="0">
    <w:p w:rsidR="00024DF9" w:rsidRDefault="00024DF9" w:rsidP="00D32A0D">
      <w:pPr>
        <w:spacing w:after="0" w:line="240" w:lineRule="auto"/>
      </w:pPr>
      <w:r>
        <w:continuationSeparator/>
      </w:r>
    </w:p>
  </w:footnote>
  <w:footnote w:id="1">
    <w:p w:rsidR="005C0271" w:rsidRPr="00910803" w:rsidRDefault="005C0271" w:rsidP="005C0271">
      <w:pPr>
        <w:pStyle w:val="FootnoteText"/>
        <w:rPr>
          <w:rFonts w:asciiTheme="minorHAnsi" w:hAnsiTheme="minorHAnsi"/>
          <w:sz w:val="16"/>
          <w:szCs w:val="16"/>
        </w:rPr>
      </w:pPr>
      <w:r w:rsidRPr="00910803">
        <w:rPr>
          <w:rStyle w:val="FootnoteReference"/>
          <w:rFonts w:asciiTheme="minorHAnsi" w:hAnsiTheme="minorHAnsi"/>
          <w:sz w:val="16"/>
          <w:szCs w:val="16"/>
        </w:rPr>
        <w:footnoteRef/>
      </w:r>
      <w:r w:rsidRPr="00910803">
        <w:rPr>
          <w:rFonts w:asciiTheme="minorHAnsi" w:hAnsiTheme="minorHAnsi"/>
          <w:sz w:val="16"/>
          <w:szCs w:val="16"/>
        </w:rPr>
        <w:t xml:space="preserve"> </w:t>
      </w:r>
      <w:hyperlink r:id="rId1" w:history="1">
        <w:r w:rsidRPr="00910803">
          <w:rPr>
            <w:rStyle w:val="Hyperlink"/>
            <w:rFonts w:asciiTheme="minorHAnsi" w:hAnsiTheme="minorHAnsi" w:cs="Tahoma"/>
            <w:color w:val="auto"/>
            <w:sz w:val="16"/>
            <w:szCs w:val="16"/>
            <w:u w:val="none"/>
            <w:shd w:val="clear" w:color="auto" w:fill="FFFFFF"/>
          </w:rPr>
          <w:t>http://m.thepigsite.com/news/39914</w:t>
        </w:r>
      </w:hyperlink>
    </w:p>
  </w:footnote>
  <w:footnote w:id="2">
    <w:p w:rsidR="005C0271" w:rsidRPr="000A65D6" w:rsidRDefault="005C0271" w:rsidP="005C0271">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r w:rsidRPr="000A65D6">
        <w:rPr>
          <w:rFonts w:asciiTheme="minorHAnsi" w:hAnsiTheme="minorHAnsi" w:cs="Arial"/>
          <w:sz w:val="16"/>
          <w:szCs w:val="16"/>
        </w:rPr>
        <w:t xml:space="preserve">Technical report submitted to EFSA, 2011. </w:t>
      </w:r>
      <w:r w:rsidRPr="000A65D6">
        <w:rPr>
          <w:rFonts w:asciiTheme="minorHAnsi" w:hAnsiTheme="minorHAnsi" w:cs="Arial"/>
          <w:bCs/>
          <w:sz w:val="16"/>
          <w:szCs w:val="16"/>
        </w:rPr>
        <w:t>Preparatory work for the future development of animal based measures for assessing the welfare of pigs. Report 2: Preparatory work for the future development of animal based measures for assessing the welfare of weaned, growing and fattening pigs including aspects related to space allowance, floor types, tail biting and need for tail docking.</w:t>
      </w:r>
    </w:p>
  </w:footnote>
  <w:footnote w:id="3">
    <w:p w:rsidR="005C0271" w:rsidRPr="000A65D6" w:rsidRDefault="005C0271" w:rsidP="005C0271">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r w:rsidRPr="000A65D6">
        <w:rPr>
          <w:rFonts w:asciiTheme="minorHAnsi" w:hAnsiTheme="minorHAnsi" w:cs="Arial"/>
          <w:sz w:val="16"/>
          <w:szCs w:val="16"/>
        </w:rPr>
        <w:t xml:space="preserve">Knowles, T. G., Kestin, S. C., Haslam, S. M., Brown, S. N., Green, L. E., Butterworth, A., Pope, S. J., Pfeiffer, D. and Nicol, C. J., 2008. Leg disorders in broiler chickens: prevalence, risk factors and prevention. </w:t>
      </w:r>
      <w:proofErr w:type="spellStart"/>
      <w:r w:rsidRPr="000A65D6">
        <w:rPr>
          <w:rFonts w:asciiTheme="minorHAnsi" w:hAnsiTheme="minorHAnsi" w:cs="Arial"/>
          <w:sz w:val="16"/>
          <w:szCs w:val="16"/>
        </w:rPr>
        <w:t>Plos</w:t>
      </w:r>
      <w:proofErr w:type="spellEnd"/>
      <w:r w:rsidRPr="000A65D6">
        <w:rPr>
          <w:rFonts w:asciiTheme="minorHAnsi" w:hAnsiTheme="minorHAnsi" w:cs="Arial"/>
          <w:sz w:val="16"/>
          <w:szCs w:val="16"/>
        </w:rPr>
        <w:t xml:space="preserve"> one 3 (2): e1545. </w:t>
      </w:r>
      <w:proofErr w:type="spellStart"/>
      <w:proofErr w:type="gramStart"/>
      <w:r w:rsidRPr="000A65D6">
        <w:rPr>
          <w:rFonts w:asciiTheme="minorHAnsi" w:hAnsiTheme="minorHAnsi" w:cs="Arial"/>
          <w:sz w:val="16"/>
          <w:szCs w:val="16"/>
        </w:rPr>
        <w:t>doi</w:t>
      </w:r>
      <w:proofErr w:type="spellEnd"/>
      <w:proofErr w:type="gramEnd"/>
      <w:r w:rsidRPr="000A65D6">
        <w:rPr>
          <w:rFonts w:asciiTheme="minorHAnsi" w:hAnsiTheme="minorHAnsi" w:cs="Arial"/>
          <w:sz w:val="16"/>
          <w:szCs w:val="16"/>
        </w:rPr>
        <w:t>: 10.1371/journal.pone.0001545.</w:t>
      </w:r>
    </w:p>
  </w:footnote>
  <w:footnote w:id="4">
    <w:p w:rsidR="005C0271" w:rsidRPr="000A65D6" w:rsidRDefault="005C0271" w:rsidP="005C0271">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r w:rsidRPr="000A65D6">
        <w:rPr>
          <w:rFonts w:asciiTheme="minorHAnsi" w:hAnsiTheme="minorHAnsi" w:cs="Arial"/>
          <w:sz w:val="16"/>
          <w:szCs w:val="16"/>
        </w:rPr>
        <w:t>Agra CEAS Consulting, 2006.  Broiler analysis (Report for RSPCA)</w:t>
      </w:r>
    </w:p>
  </w:footnote>
  <w:footnote w:id="5">
    <w:p w:rsidR="005C0271" w:rsidRPr="000A65D6" w:rsidRDefault="005C0271" w:rsidP="005C0271">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r w:rsidRPr="000A65D6">
        <w:rPr>
          <w:rFonts w:asciiTheme="minorHAnsi" w:hAnsiTheme="minorHAnsi" w:cs="Arial"/>
          <w:sz w:val="16"/>
          <w:szCs w:val="16"/>
        </w:rPr>
        <w:t xml:space="preserve">Scientific Opinion of Panel on Animal Health and Welfare </w:t>
      </w:r>
      <w:r w:rsidR="00910803">
        <w:rPr>
          <w:rFonts w:asciiTheme="minorHAnsi" w:hAnsiTheme="minorHAnsi" w:cs="Arial"/>
          <w:sz w:val="16"/>
          <w:szCs w:val="16"/>
        </w:rPr>
        <w:t>-</w:t>
      </w:r>
      <w:r w:rsidRPr="000A65D6">
        <w:rPr>
          <w:rFonts w:asciiTheme="minorHAnsi" w:hAnsiTheme="minorHAnsi" w:cs="Arial"/>
          <w:sz w:val="16"/>
          <w:szCs w:val="16"/>
        </w:rPr>
        <w:t xml:space="preserve"> request from European Commission on welfare of dairy cows. </w:t>
      </w:r>
      <w:r w:rsidRPr="000A65D6">
        <w:rPr>
          <w:rFonts w:asciiTheme="minorHAnsi" w:hAnsiTheme="minorHAnsi" w:cs="Arial"/>
          <w:i/>
          <w:iCs/>
          <w:sz w:val="16"/>
          <w:szCs w:val="16"/>
        </w:rPr>
        <w:t xml:space="preserve">The EFSA Journal </w:t>
      </w:r>
      <w:r w:rsidRPr="000A65D6">
        <w:rPr>
          <w:rFonts w:asciiTheme="minorHAnsi" w:hAnsiTheme="minorHAnsi" w:cs="Arial"/>
          <w:sz w:val="16"/>
          <w:szCs w:val="16"/>
        </w:rPr>
        <w:t>(2009) 1143, 1-38.</w:t>
      </w:r>
    </w:p>
  </w:footnote>
  <w:footnote w:id="6">
    <w:p w:rsidR="00E21E02" w:rsidRPr="000A65D6" w:rsidRDefault="00E21E02">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T Humphrey (2006) Are happy chickens safer chickens? Poultry welfare and disease susceptibility, British Poultry Science,47(4):379—391 </w:t>
      </w:r>
    </w:p>
  </w:footnote>
  <w:footnote w:id="7">
    <w:p w:rsidR="00E21E02" w:rsidRPr="000A65D6" w:rsidRDefault="00E21E02">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M </w:t>
      </w:r>
      <w:proofErr w:type="spellStart"/>
      <w:r w:rsidRPr="000A65D6">
        <w:rPr>
          <w:rFonts w:asciiTheme="minorHAnsi" w:hAnsiTheme="minorHAnsi"/>
          <w:sz w:val="16"/>
          <w:szCs w:val="16"/>
        </w:rPr>
        <w:t>Greger</w:t>
      </w:r>
      <w:proofErr w:type="spellEnd"/>
      <w:r w:rsidRPr="000A65D6">
        <w:rPr>
          <w:rFonts w:asciiTheme="minorHAnsi" w:hAnsiTheme="minorHAnsi"/>
          <w:sz w:val="16"/>
          <w:szCs w:val="16"/>
        </w:rPr>
        <w:t xml:space="preserve"> (2007) </w:t>
      </w:r>
      <w:proofErr w:type="gramStart"/>
      <w:r w:rsidRPr="000A65D6">
        <w:rPr>
          <w:rFonts w:asciiTheme="minorHAnsi" w:hAnsiTheme="minorHAnsi"/>
          <w:sz w:val="16"/>
          <w:szCs w:val="16"/>
        </w:rPr>
        <w:t>The</w:t>
      </w:r>
      <w:proofErr w:type="gramEnd"/>
      <w:r w:rsidRPr="000A65D6">
        <w:rPr>
          <w:rFonts w:asciiTheme="minorHAnsi" w:hAnsiTheme="minorHAnsi"/>
          <w:sz w:val="16"/>
          <w:szCs w:val="16"/>
        </w:rPr>
        <w:t xml:space="preserve"> human/animal interface: emergence and resurgence of zoonotic infectious diseases. Critical Reviews in Microbiology, 33:243–299</w:t>
      </w:r>
    </w:p>
  </w:footnote>
  <w:footnote w:id="8">
    <w:p w:rsidR="00434B00" w:rsidRPr="000A65D6" w:rsidRDefault="00434B00" w:rsidP="00434B00">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hyperlink r:id="rId2" w:history="1">
        <w:r w:rsidRPr="000A65D6">
          <w:rPr>
            <w:rStyle w:val="Hyperlink"/>
            <w:rFonts w:asciiTheme="minorHAnsi" w:hAnsiTheme="minorHAnsi"/>
            <w:sz w:val="16"/>
            <w:szCs w:val="16"/>
          </w:rPr>
          <w:t>http://www.thedairysite.com/articles/3046/antibiotic-use-in-food-animals/</w:t>
        </w:r>
      </w:hyperlink>
    </w:p>
  </w:footnote>
  <w:footnote w:id="9">
    <w:p w:rsidR="00420193" w:rsidRPr="000A65D6" w:rsidRDefault="00420193">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Veterinary Medicines Directorate (2010) Sales of antimicrobial products authorised as veterinary medicines.in the UK in 2009, Veterinary Medicines Directorate, http://www.vmd.defra.gov.uk/vet/antimicrobial_pubs.aspx</w:t>
      </w:r>
    </w:p>
  </w:footnote>
  <w:footnote w:id="10">
    <w:p w:rsidR="00ED3DCC" w:rsidRPr="000A65D6" w:rsidRDefault="00ED3DCC">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hyperlink r:id="rId3" w:tgtFrame="_blank" w:history="1">
        <w:r w:rsidRPr="000A65D6">
          <w:rPr>
            <w:rFonts w:asciiTheme="minorHAnsi" w:eastAsia="Times New Roman" w:hAnsiTheme="minorHAnsi" w:cs="Segoe UI"/>
            <w:color w:val="0000FF"/>
            <w:sz w:val="16"/>
            <w:szCs w:val="16"/>
            <w:u w:val="single"/>
            <w:lang w:eastAsia="en-GB"/>
          </w:rPr>
          <w:t>http://www.ncbi.nlm.nih.gov/pubmed/22903925</w:t>
        </w:r>
      </w:hyperlink>
      <w:r w:rsidRPr="000A65D6">
        <w:rPr>
          <w:rFonts w:asciiTheme="minorHAnsi" w:eastAsia="Times New Roman" w:hAnsiTheme="minorHAnsi" w:cs="Segoe UI"/>
          <w:color w:val="212121"/>
          <w:sz w:val="16"/>
          <w:szCs w:val="16"/>
          <w:lang w:eastAsia="en-GB"/>
        </w:rPr>
        <w:t> </w:t>
      </w:r>
    </w:p>
  </w:footnote>
  <w:footnote w:id="11">
    <w:p w:rsidR="00ED3DCC" w:rsidRPr="000A65D6" w:rsidRDefault="00ED3DCC">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w:t>
      </w:r>
      <w:hyperlink r:id="rId4" w:tgtFrame="_blank" w:history="1">
        <w:r w:rsidRPr="000A65D6">
          <w:rPr>
            <w:rFonts w:asciiTheme="minorHAnsi" w:eastAsia="Times New Roman" w:hAnsiTheme="minorHAnsi" w:cs="Segoe UI"/>
            <w:color w:val="0000FF"/>
            <w:sz w:val="16"/>
            <w:szCs w:val="16"/>
            <w:u w:val="single"/>
            <w:lang w:eastAsia="en-GB"/>
          </w:rPr>
          <w:t>http://www.ncbi.nlm.nih.gov/pubmed/24983137</w:t>
        </w:r>
      </w:hyperlink>
    </w:p>
  </w:footnote>
  <w:footnote w:id="12">
    <w:p w:rsidR="00ED3DCC" w:rsidRPr="000A65D6" w:rsidRDefault="00ED3DCC">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http://www.slu.se/Global/externwebben/vh-fak/kliniska-vetenskaper/Posters%202014/KAL_svepm_14.pdf</w:t>
      </w:r>
    </w:p>
  </w:footnote>
  <w:footnote w:id="13">
    <w:p w:rsidR="005C0271" w:rsidRPr="000A65D6" w:rsidRDefault="005C0271" w:rsidP="005C0271">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M-H </w:t>
      </w:r>
      <w:proofErr w:type="spellStart"/>
      <w:r w:rsidRPr="000A65D6">
        <w:rPr>
          <w:rFonts w:asciiTheme="minorHAnsi" w:hAnsiTheme="minorHAnsi"/>
          <w:sz w:val="16"/>
          <w:szCs w:val="16"/>
        </w:rPr>
        <w:t>Desmonts</w:t>
      </w:r>
      <w:proofErr w:type="spellEnd"/>
      <w:r w:rsidRPr="000A65D6">
        <w:rPr>
          <w:rFonts w:asciiTheme="minorHAnsi" w:hAnsiTheme="minorHAnsi"/>
          <w:sz w:val="16"/>
          <w:szCs w:val="16"/>
        </w:rPr>
        <w:t xml:space="preserve"> et al. (2004) Antimicrobial resistance in Campylobacter strains isolated from French broilers before and after antimicrobial growth promoter bans. J. Antimicrobial Chemotherapy 54(6):1025-1030</w:t>
      </w:r>
    </w:p>
  </w:footnote>
  <w:footnote w:id="14">
    <w:p w:rsidR="005C0271" w:rsidRPr="000A65D6" w:rsidRDefault="005C0271" w:rsidP="005C0271">
      <w:pPr>
        <w:pStyle w:val="FootnoteText"/>
        <w:rPr>
          <w:rFonts w:asciiTheme="minorHAnsi" w:hAnsiTheme="minorHAnsi"/>
          <w:sz w:val="16"/>
          <w:szCs w:val="16"/>
        </w:rPr>
      </w:pPr>
      <w:r w:rsidRPr="000A65D6">
        <w:rPr>
          <w:rStyle w:val="FootnoteReference"/>
          <w:rFonts w:asciiTheme="minorHAnsi" w:hAnsiTheme="minorHAnsi"/>
          <w:sz w:val="16"/>
          <w:szCs w:val="16"/>
        </w:rPr>
        <w:footnoteRef/>
      </w:r>
      <w:r w:rsidRPr="000A65D6">
        <w:rPr>
          <w:rFonts w:asciiTheme="minorHAnsi" w:hAnsiTheme="minorHAnsi"/>
          <w:sz w:val="16"/>
          <w:szCs w:val="16"/>
        </w:rPr>
        <w:t xml:space="preserve"> F </w:t>
      </w:r>
      <w:proofErr w:type="spellStart"/>
      <w:r w:rsidRPr="000A65D6">
        <w:rPr>
          <w:rFonts w:asciiTheme="minorHAnsi" w:hAnsiTheme="minorHAnsi"/>
          <w:sz w:val="16"/>
          <w:szCs w:val="16"/>
        </w:rPr>
        <w:t>Bager</w:t>
      </w:r>
      <w:proofErr w:type="spellEnd"/>
      <w:r w:rsidRPr="000A65D6">
        <w:rPr>
          <w:rFonts w:asciiTheme="minorHAnsi" w:hAnsiTheme="minorHAnsi"/>
          <w:sz w:val="16"/>
          <w:szCs w:val="16"/>
        </w:rPr>
        <w:t xml:space="preserve"> et al. (1997) </w:t>
      </w:r>
      <w:proofErr w:type="spellStart"/>
      <w:r w:rsidRPr="000A65D6">
        <w:rPr>
          <w:rFonts w:asciiTheme="minorHAnsi" w:hAnsiTheme="minorHAnsi"/>
          <w:sz w:val="16"/>
          <w:szCs w:val="16"/>
        </w:rPr>
        <w:t>Avoparcin</w:t>
      </w:r>
      <w:proofErr w:type="spellEnd"/>
      <w:r w:rsidRPr="000A65D6">
        <w:rPr>
          <w:rFonts w:asciiTheme="minorHAnsi" w:hAnsiTheme="minorHAnsi"/>
          <w:sz w:val="16"/>
          <w:szCs w:val="16"/>
        </w:rPr>
        <w:t xml:space="preserve"> used as a growth promoter is associated with the occurrence of vancomycin-resistant Enterococcus </w:t>
      </w:r>
      <w:proofErr w:type="spellStart"/>
      <w:r w:rsidRPr="000A65D6">
        <w:rPr>
          <w:rFonts w:asciiTheme="minorHAnsi" w:hAnsiTheme="minorHAnsi"/>
          <w:sz w:val="16"/>
          <w:szCs w:val="16"/>
        </w:rPr>
        <w:t>faecium</w:t>
      </w:r>
      <w:proofErr w:type="spellEnd"/>
      <w:r w:rsidRPr="000A65D6">
        <w:rPr>
          <w:rFonts w:asciiTheme="minorHAnsi" w:hAnsiTheme="minorHAnsi"/>
          <w:sz w:val="16"/>
          <w:szCs w:val="16"/>
        </w:rPr>
        <w:t xml:space="preserve"> on Danish poultry and pig farms. Preventive Veterinary Medicine 31(1-2):95-112</w:t>
      </w:r>
    </w:p>
  </w:footnote>
  <w:footnote w:id="15">
    <w:p w:rsidR="000A65D6" w:rsidRPr="000A65D6" w:rsidRDefault="000A65D6" w:rsidP="000A65D6">
      <w:pPr>
        <w:pStyle w:val="FootnoteText"/>
        <w:rPr>
          <w:sz w:val="16"/>
          <w:szCs w:val="16"/>
        </w:rPr>
      </w:pPr>
      <w:r w:rsidRPr="000A65D6">
        <w:rPr>
          <w:rStyle w:val="FootnoteReference"/>
          <w:sz w:val="16"/>
          <w:szCs w:val="16"/>
        </w:rPr>
        <w:footnoteRef/>
      </w:r>
      <w:r w:rsidRPr="000A65D6">
        <w:rPr>
          <w:sz w:val="16"/>
          <w:szCs w:val="16"/>
        </w:rPr>
        <w:t xml:space="preserve"> H </w:t>
      </w:r>
      <w:proofErr w:type="spellStart"/>
      <w:r w:rsidRPr="000A65D6">
        <w:rPr>
          <w:sz w:val="16"/>
          <w:szCs w:val="16"/>
        </w:rPr>
        <w:t>Graveland</w:t>
      </w:r>
      <w:proofErr w:type="spellEnd"/>
      <w:r w:rsidRPr="000A65D6">
        <w:rPr>
          <w:sz w:val="16"/>
          <w:szCs w:val="16"/>
        </w:rPr>
        <w:t xml:space="preserve"> et al. (2010) Methicillin Resistant Staphylococcus aureus ST398 in Veal Calf Farming: Human MRSA Carriage Related with Animal Antimicrobial Usage and Farm Hygiene. </w:t>
      </w:r>
      <w:proofErr w:type="spellStart"/>
      <w:r w:rsidRPr="000A65D6">
        <w:rPr>
          <w:sz w:val="16"/>
          <w:szCs w:val="16"/>
        </w:rPr>
        <w:t>PLoS</w:t>
      </w:r>
      <w:proofErr w:type="spellEnd"/>
      <w:r w:rsidRPr="000A65D6">
        <w:rPr>
          <w:sz w:val="16"/>
          <w:szCs w:val="16"/>
        </w:rPr>
        <w:t xml:space="preserve"> ONE 5(6): e10990. doi:10.1371/journal.pone.0010990</w:t>
      </w:r>
    </w:p>
  </w:footnote>
  <w:footnote w:id="16">
    <w:p w:rsidR="000A65D6" w:rsidRPr="000A65D6" w:rsidRDefault="000A65D6">
      <w:pPr>
        <w:pStyle w:val="FootnoteText"/>
        <w:rPr>
          <w:sz w:val="16"/>
          <w:szCs w:val="16"/>
        </w:rPr>
      </w:pPr>
      <w:r w:rsidRPr="000A65D6">
        <w:rPr>
          <w:rStyle w:val="FootnoteReference"/>
          <w:sz w:val="16"/>
          <w:szCs w:val="16"/>
        </w:rPr>
        <w:footnoteRef/>
      </w:r>
      <w:r w:rsidRPr="000A65D6">
        <w:rPr>
          <w:sz w:val="16"/>
          <w:szCs w:val="16"/>
        </w:rPr>
        <w:t xml:space="preserve"> </w:t>
      </w:r>
      <w:proofErr w:type="spellStart"/>
      <w:proofErr w:type="gramStart"/>
      <w:r w:rsidRPr="000A65D6">
        <w:rPr>
          <w:sz w:val="16"/>
          <w:szCs w:val="16"/>
        </w:rPr>
        <w:t>iiEuropean</w:t>
      </w:r>
      <w:proofErr w:type="spellEnd"/>
      <w:proofErr w:type="gramEnd"/>
      <w:r w:rsidRPr="000A65D6">
        <w:rPr>
          <w:sz w:val="16"/>
          <w:szCs w:val="16"/>
        </w:rPr>
        <w:t xml:space="preserve"> Food Safety Authority (2010) Scientific </w:t>
      </w:r>
      <w:proofErr w:type="spellStart"/>
      <w:r w:rsidRPr="000A65D6">
        <w:rPr>
          <w:sz w:val="16"/>
          <w:szCs w:val="16"/>
        </w:rPr>
        <w:t>Report.Analysis</w:t>
      </w:r>
      <w:proofErr w:type="spellEnd"/>
      <w:r w:rsidRPr="000A65D6">
        <w:rPr>
          <w:sz w:val="16"/>
          <w:szCs w:val="16"/>
        </w:rPr>
        <w:t xml:space="preserve"> of the baseline survey on the prevalence of methicillin-resistant Staphylococcus aureus (MRSA) in holdings with breeding pigs, in the EU, 2008. Part B factors associated with MRSA contamination of holdings. EFSA Journal (2010) 8(6):1597, www.efsa.europa.eu/en/scdocs/doc/s1597.pdf</w:t>
      </w:r>
    </w:p>
  </w:footnote>
  <w:footnote w:id="17">
    <w:p w:rsidR="000A65D6" w:rsidRPr="000A65D6" w:rsidRDefault="000A65D6">
      <w:pPr>
        <w:pStyle w:val="FootnoteText"/>
        <w:rPr>
          <w:sz w:val="16"/>
          <w:szCs w:val="16"/>
        </w:rPr>
      </w:pPr>
      <w:r w:rsidRPr="000A65D6">
        <w:rPr>
          <w:rStyle w:val="FootnoteReference"/>
          <w:sz w:val="16"/>
          <w:szCs w:val="16"/>
        </w:rPr>
        <w:footnoteRef/>
      </w:r>
      <w:r w:rsidRPr="000A65D6">
        <w:rPr>
          <w:sz w:val="16"/>
          <w:szCs w:val="16"/>
        </w:rPr>
        <w:t xml:space="preserve"> E. M. </w:t>
      </w:r>
      <w:proofErr w:type="spellStart"/>
      <w:r w:rsidRPr="000A65D6">
        <w:rPr>
          <w:sz w:val="16"/>
          <w:szCs w:val="16"/>
        </w:rPr>
        <w:t>Broens</w:t>
      </w:r>
      <w:proofErr w:type="spellEnd"/>
      <w:r w:rsidRPr="000A65D6">
        <w:rPr>
          <w:sz w:val="16"/>
          <w:szCs w:val="16"/>
        </w:rPr>
        <w:t xml:space="preserve"> et al. (2011) Prevalence and risk factors for MRSA in pigs herds in the Netherlands</w:t>
      </w:r>
    </w:p>
  </w:footnote>
  <w:footnote w:id="18">
    <w:p w:rsidR="000A65D6" w:rsidRPr="00910803" w:rsidRDefault="000A65D6">
      <w:pPr>
        <w:pStyle w:val="FootnoteText"/>
        <w:rPr>
          <w:sz w:val="16"/>
          <w:szCs w:val="16"/>
        </w:rPr>
      </w:pPr>
      <w:r w:rsidRPr="00910803">
        <w:rPr>
          <w:rStyle w:val="FootnoteReference"/>
          <w:sz w:val="16"/>
          <w:szCs w:val="16"/>
        </w:rPr>
        <w:footnoteRef/>
      </w:r>
      <w:r w:rsidRPr="00910803">
        <w:rPr>
          <w:sz w:val="16"/>
          <w:szCs w:val="16"/>
        </w:rPr>
        <w:t xml:space="preserve"> http://rstb.royalsocietypublishing.org/content/370/1670/20140085</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59A9" w:rsidRDefault="008059A9" w:rsidP="008059A9">
    <w:pPr>
      <w:pStyle w:val="Header"/>
      <w:jc w:val="right"/>
    </w:pPr>
    <w:r w:rsidRPr="008059A9">
      <w:rPr>
        <w:noProof/>
        <w:lang w:eastAsia="en-GB"/>
      </w:rPr>
      <w:drawing>
        <wp:anchor distT="0" distB="0" distL="114300" distR="114300" simplePos="0" relativeHeight="251658240" behindDoc="0" locked="0" layoutInCell="1" allowOverlap="1">
          <wp:simplePos x="0" y="0"/>
          <wp:positionH relativeFrom="column">
            <wp:posOffset>5248275</wp:posOffset>
          </wp:positionH>
          <wp:positionV relativeFrom="paragraph">
            <wp:posOffset>-182880</wp:posOffset>
          </wp:positionV>
          <wp:extent cx="1335412" cy="647700"/>
          <wp:effectExtent l="0" t="0" r="0" b="0"/>
          <wp:wrapSquare wrapText="bothSides"/>
          <wp:docPr id="1" name="Picture 1" descr="C:\Users\Emma Rose\Dropbox\ASOA\Images\Logo smal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mma Rose\Dropbox\ASOA\Images\Logo small.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35412" cy="6477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DB7BA4"/>
    <w:multiLevelType w:val="hybridMultilevel"/>
    <w:tmpl w:val="0FEE77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10523C3C"/>
    <w:multiLevelType w:val="hybridMultilevel"/>
    <w:tmpl w:val="2BA2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5E3B8E"/>
    <w:multiLevelType w:val="hybridMultilevel"/>
    <w:tmpl w:val="6A908C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3FE16A05"/>
    <w:multiLevelType w:val="hybridMultilevel"/>
    <w:tmpl w:val="7618FA5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DFD"/>
    <w:rsid w:val="00024DF9"/>
    <w:rsid w:val="00031C1D"/>
    <w:rsid w:val="0007709F"/>
    <w:rsid w:val="000A65D6"/>
    <w:rsid w:val="00133DB8"/>
    <w:rsid w:val="001E4305"/>
    <w:rsid w:val="00202DFD"/>
    <w:rsid w:val="00333E34"/>
    <w:rsid w:val="003600BB"/>
    <w:rsid w:val="00377890"/>
    <w:rsid w:val="003C03EB"/>
    <w:rsid w:val="003C6C5C"/>
    <w:rsid w:val="003F7627"/>
    <w:rsid w:val="00420193"/>
    <w:rsid w:val="00434B00"/>
    <w:rsid w:val="00443766"/>
    <w:rsid w:val="005C0271"/>
    <w:rsid w:val="006A7B85"/>
    <w:rsid w:val="007022F1"/>
    <w:rsid w:val="00711F79"/>
    <w:rsid w:val="00742DAA"/>
    <w:rsid w:val="00746B14"/>
    <w:rsid w:val="008059A9"/>
    <w:rsid w:val="00853564"/>
    <w:rsid w:val="00854763"/>
    <w:rsid w:val="008822F8"/>
    <w:rsid w:val="00910803"/>
    <w:rsid w:val="00924CE9"/>
    <w:rsid w:val="00936CD3"/>
    <w:rsid w:val="00A0484C"/>
    <w:rsid w:val="00B52314"/>
    <w:rsid w:val="00BA5378"/>
    <w:rsid w:val="00BD7B69"/>
    <w:rsid w:val="00C078C9"/>
    <w:rsid w:val="00C36D3B"/>
    <w:rsid w:val="00C931AE"/>
    <w:rsid w:val="00CC7D2A"/>
    <w:rsid w:val="00D32A0D"/>
    <w:rsid w:val="00D43C53"/>
    <w:rsid w:val="00D97F68"/>
    <w:rsid w:val="00DE5BA8"/>
    <w:rsid w:val="00E21E02"/>
    <w:rsid w:val="00E4344C"/>
    <w:rsid w:val="00ED3DCC"/>
    <w:rsid w:val="00ED7E16"/>
    <w:rsid w:val="00EE1A49"/>
    <w:rsid w:val="00F033C3"/>
    <w:rsid w:val="00F801E0"/>
    <w:rsid w:val="00F96179"/>
    <w:rsid w:val="00FC1D0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F56DE-15A8-480F-AED9-99A406D09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32A0D"/>
  </w:style>
  <w:style w:type="character" w:styleId="Hyperlink">
    <w:name w:val="Hyperlink"/>
    <w:basedOn w:val="DefaultParagraphFont"/>
    <w:uiPriority w:val="99"/>
    <w:unhideWhenUsed/>
    <w:rsid w:val="00D32A0D"/>
    <w:rPr>
      <w:color w:val="0000FF"/>
      <w:u w:val="single"/>
    </w:rPr>
  </w:style>
  <w:style w:type="paragraph" w:styleId="NoSpacing">
    <w:name w:val="No Spacing"/>
    <w:uiPriority w:val="1"/>
    <w:qFormat/>
    <w:rsid w:val="00D32A0D"/>
    <w:pPr>
      <w:spacing w:after="0" w:line="240" w:lineRule="auto"/>
    </w:pPr>
  </w:style>
  <w:style w:type="paragraph" w:styleId="BodyText">
    <w:name w:val="Body Text"/>
    <w:basedOn w:val="Normal"/>
    <w:link w:val="BodyTextChar"/>
    <w:uiPriority w:val="99"/>
    <w:unhideWhenUsed/>
    <w:rsid w:val="00D32A0D"/>
    <w:pPr>
      <w:tabs>
        <w:tab w:val="num" w:pos="720"/>
      </w:tabs>
      <w:spacing w:after="240" w:line="240" w:lineRule="auto"/>
      <w:jc w:val="both"/>
    </w:pPr>
    <w:rPr>
      <w:rFonts w:ascii="Times New Roman" w:hAnsi="Times New Roman" w:cs="Times New Roman"/>
      <w:lang w:eastAsia="en-GB"/>
    </w:rPr>
  </w:style>
  <w:style w:type="character" w:customStyle="1" w:styleId="BodyTextChar">
    <w:name w:val="Body Text Char"/>
    <w:basedOn w:val="DefaultParagraphFont"/>
    <w:link w:val="BodyText"/>
    <w:uiPriority w:val="99"/>
    <w:rsid w:val="00D32A0D"/>
    <w:rPr>
      <w:rFonts w:ascii="Times New Roman" w:hAnsi="Times New Roman" w:cs="Times New Roman"/>
      <w:lang w:eastAsia="en-GB"/>
    </w:rPr>
  </w:style>
  <w:style w:type="character" w:styleId="EndnoteReference">
    <w:name w:val="endnote reference"/>
    <w:basedOn w:val="DefaultParagraphFont"/>
    <w:uiPriority w:val="99"/>
    <w:semiHidden/>
    <w:unhideWhenUsed/>
    <w:rsid w:val="00D32A0D"/>
    <w:rPr>
      <w:vertAlign w:val="superscript"/>
    </w:rPr>
  </w:style>
  <w:style w:type="paragraph" w:styleId="EndnoteText">
    <w:name w:val="endnote text"/>
    <w:basedOn w:val="Normal"/>
    <w:link w:val="EndnoteTextChar"/>
    <w:uiPriority w:val="99"/>
    <w:semiHidden/>
    <w:unhideWhenUsed/>
    <w:rsid w:val="00D32A0D"/>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32A0D"/>
    <w:rPr>
      <w:sz w:val="20"/>
      <w:szCs w:val="20"/>
    </w:rPr>
  </w:style>
  <w:style w:type="paragraph" w:customStyle="1" w:styleId="Default">
    <w:name w:val="Default"/>
    <w:rsid w:val="00D32A0D"/>
    <w:pPr>
      <w:autoSpaceDE w:val="0"/>
      <w:autoSpaceDN w:val="0"/>
      <w:adjustRightInd w:val="0"/>
      <w:spacing w:after="0" w:line="240" w:lineRule="auto"/>
    </w:pPr>
    <w:rPr>
      <w:rFonts w:ascii="Times New Roman" w:eastAsia="Times New Roman" w:hAnsi="Times New Roman" w:cs="Times New Roman"/>
      <w:color w:val="000000"/>
      <w:sz w:val="24"/>
      <w:szCs w:val="24"/>
      <w:lang w:eastAsia="en-GB"/>
    </w:rPr>
  </w:style>
  <w:style w:type="paragraph" w:styleId="FootnoteText">
    <w:name w:val="footnote text"/>
    <w:aliases w:val="fn,footnote text,Footnotes,Footnote ak,ft,fn cafc,Footnote Text Char1,fn Char Char,footnote text Char Char,Footnotes Char Char,Footnote ak Char Char"/>
    <w:basedOn w:val="Normal"/>
    <w:link w:val="FootnoteTextChar"/>
    <w:uiPriority w:val="99"/>
    <w:unhideWhenUsed/>
    <w:rsid w:val="00D32A0D"/>
    <w:pPr>
      <w:spacing w:after="0" w:line="240" w:lineRule="auto"/>
    </w:pPr>
    <w:rPr>
      <w:rFonts w:ascii="Calibri" w:eastAsia="Calibri" w:hAnsi="Calibri" w:cs="Times New Roman"/>
      <w:sz w:val="20"/>
      <w:szCs w:val="20"/>
    </w:rPr>
  </w:style>
  <w:style w:type="character" w:customStyle="1" w:styleId="FootnoteTextChar">
    <w:name w:val="Footnote Text Char"/>
    <w:aliases w:val="fn Char,footnote text Char,Footnotes Char,Footnote ak Char,ft Char,fn cafc Char,Footnote Text Char1 Char,fn Char Char Char,footnote text Char Char Char,Footnotes Char Char Char,Footnote ak Char Char Char"/>
    <w:basedOn w:val="DefaultParagraphFont"/>
    <w:link w:val="FootnoteText"/>
    <w:uiPriority w:val="99"/>
    <w:rsid w:val="00D32A0D"/>
    <w:rPr>
      <w:rFonts w:ascii="Calibri" w:eastAsia="Calibri" w:hAnsi="Calibri" w:cs="Times New Roman"/>
      <w:sz w:val="20"/>
      <w:szCs w:val="20"/>
    </w:rPr>
  </w:style>
  <w:style w:type="paragraph" w:styleId="ListParagraph">
    <w:name w:val="List Paragraph"/>
    <w:basedOn w:val="Normal"/>
    <w:uiPriority w:val="34"/>
    <w:qFormat/>
    <w:rsid w:val="00C36D3B"/>
    <w:pPr>
      <w:ind w:left="720"/>
      <w:contextualSpacing/>
    </w:pPr>
  </w:style>
  <w:style w:type="character" w:styleId="FootnoteReference">
    <w:name w:val="footnote reference"/>
    <w:basedOn w:val="DefaultParagraphFont"/>
    <w:uiPriority w:val="99"/>
    <w:semiHidden/>
    <w:unhideWhenUsed/>
    <w:rsid w:val="00434B00"/>
    <w:rPr>
      <w:vertAlign w:val="superscript"/>
    </w:rPr>
  </w:style>
  <w:style w:type="character" w:styleId="FollowedHyperlink">
    <w:name w:val="FollowedHyperlink"/>
    <w:basedOn w:val="DefaultParagraphFont"/>
    <w:uiPriority w:val="99"/>
    <w:semiHidden/>
    <w:unhideWhenUsed/>
    <w:rsid w:val="00ED3DCC"/>
    <w:rPr>
      <w:color w:val="954F72" w:themeColor="followedHyperlink"/>
      <w:u w:val="single"/>
    </w:rPr>
  </w:style>
  <w:style w:type="paragraph" w:styleId="Header">
    <w:name w:val="header"/>
    <w:basedOn w:val="Normal"/>
    <w:link w:val="HeaderChar"/>
    <w:uiPriority w:val="99"/>
    <w:unhideWhenUsed/>
    <w:rsid w:val="008059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59A9"/>
  </w:style>
  <w:style w:type="paragraph" w:styleId="Footer">
    <w:name w:val="footer"/>
    <w:basedOn w:val="Normal"/>
    <w:link w:val="FooterChar"/>
    <w:uiPriority w:val="99"/>
    <w:unhideWhenUsed/>
    <w:rsid w:val="008059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5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6025889">
      <w:bodyDiv w:val="1"/>
      <w:marLeft w:val="0"/>
      <w:marRight w:val="0"/>
      <w:marTop w:val="0"/>
      <w:marBottom w:val="0"/>
      <w:divBdr>
        <w:top w:val="none" w:sz="0" w:space="0" w:color="auto"/>
        <w:left w:val="none" w:sz="0" w:space="0" w:color="auto"/>
        <w:bottom w:val="none" w:sz="0" w:space="0" w:color="auto"/>
        <w:right w:val="none" w:sz="0" w:space="0" w:color="auto"/>
      </w:divBdr>
      <w:divsChild>
        <w:div w:id="1754861872">
          <w:marLeft w:val="0"/>
          <w:marRight w:val="0"/>
          <w:marTop w:val="0"/>
          <w:marBottom w:val="0"/>
          <w:divBdr>
            <w:top w:val="none" w:sz="0" w:space="0" w:color="auto"/>
            <w:left w:val="none" w:sz="0" w:space="0" w:color="auto"/>
            <w:bottom w:val="none" w:sz="0" w:space="0" w:color="auto"/>
            <w:right w:val="none" w:sz="0" w:space="0" w:color="auto"/>
          </w:divBdr>
        </w:div>
        <w:div w:id="1640569050">
          <w:marLeft w:val="0"/>
          <w:marRight w:val="0"/>
          <w:marTop w:val="0"/>
          <w:marBottom w:val="0"/>
          <w:divBdr>
            <w:top w:val="none" w:sz="0" w:space="0" w:color="auto"/>
            <w:left w:val="none" w:sz="0" w:space="0" w:color="auto"/>
            <w:bottom w:val="none" w:sz="0" w:space="0" w:color="auto"/>
            <w:right w:val="none" w:sz="0" w:space="0" w:color="auto"/>
          </w:divBdr>
        </w:div>
        <w:div w:id="7609864">
          <w:marLeft w:val="0"/>
          <w:marRight w:val="0"/>
          <w:marTop w:val="0"/>
          <w:marBottom w:val="0"/>
          <w:divBdr>
            <w:top w:val="none" w:sz="0" w:space="0" w:color="auto"/>
            <w:left w:val="none" w:sz="0" w:space="0" w:color="auto"/>
            <w:bottom w:val="none" w:sz="0" w:space="0" w:color="auto"/>
            <w:right w:val="none" w:sz="0" w:space="0" w:color="auto"/>
          </w:divBdr>
        </w:div>
      </w:divsChild>
    </w:div>
    <w:div w:id="1002732727">
      <w:bodyDiv w:val="1"/>
      <w:marLeft w:val="0"/>
      <w:marRight w:val="0"/>
      <w:marTop w:val="0"/>
      <w:marBottom w:val="0"/>
      <w:divBdr>
        <w:top w:val="none" w:sz="0" w:space="0" w:color="auto"/>
        <w:left w:val="none" w:sz="0" w:space="0" w:color="auto"/>
        <w:bottom w:val="none" w:sz="0" w:space="0" w:color="auto"/>
        <w:right w:val="none" w:sz="0" w:space="0" w:color="auto"/>
      </w:divBdr>
      <w:divsChild>
        <w:div w:id="1706712489">
          <w:marLeft w:val="0"/>
          <w:marRight w:val="0"/>
          <w:marTop w:val="0"/>
          <w:marBottom w:val="0"/>
          <w:divBdr>
            <w:top w:val="none" w:sz="0" w:space="0" w:color="auto"/>
            <w:left w:val="none" w:sz="0" w:space="0" w:color="auto"/>
            <w:bottom w:val="none" w:sz="0" w:space="0" w:color="auto"/>
            <w:right w:val="none" w:sz="0" w:space="0" w:color="auto"/>
          </w:divBdr>
        </w:div>
        <w:div w:id="1117066196">
          <w:marLeft w:val="0"/>
          <w:marRight w:val="0"/>
          <w:marTop w:val="0"/>
          <w:marBottom w:val="0"/>
          <w:divBdr>
            <w:top w:val="none" w:sz="0" w:space="0" w:color="auto"/>
            <w:left w:val="none" w:sz="0" w:space="0" w:color="auto"/>
            <w:bottom w:val="none" w:sz="0" w:space="0" w:color="auto"/>
            <w:right w:val="none" w:sz="0" w:space="0" w:color="auto"/>
          </w:divBdr>
        </w:div>
        <w:div w:id="874657282">
          <w:marLeft w:val="0"/>
          <w:marRight w:val="0"/>
          <w:marTop w:val="0"/>
          <w:marBottom w:val="0"/>
          <w:divBdr>
            <w:top w:val="none" w:sz="0" w:space="0" w:color="auto"/>
            <w:left w:val="none" w:sz="0" w:space="0" w:color="auto"/>
            <w:bottom w:val="none" w:sz="0" w:space="0" w:color="auto"/>
            <w:right w:val="none" w:sz="0" w:space="0" w:color="auto"/>
          </w:divBdr>
        </w:div>
        <w:div w:id="1929121042">
          <w:marLeft w:val="0"/>
          <w:marRight w:val="0"/>
          <w:marTop w:val="0"/>
          <w:marBottom w:val="0"/>
          <w:divBdr>
            <w:top w:val="none" w:sz="0" w:space="0" w:color="auto"/>
            <w:left w:val="none" w:sz="0" w:space="0" w:color="auto"/>
            <w:bottom w:val="none" w:sz="0" w:space="0" w:color="auto"/>
            <w:right w:val="none" w:sz="0" w:space="0" w:color="auto"/>
          </w:divBdr>
        </w:div>
        <w:div w:id="1885209441">
          <w:marLeft w:val="0"/>
          <w:marRight w:val="0"/>
          <w:marTop w:val="0"/>
          <w:marBottom w:val="0"/>
          <w:divBdr>
            <w:top w:val="none" w:sz="0" w:space="0" w:color="auto"/>
            <w:left w:val="none" w:sz="0" w:space="0" w:color="auto"/>
            <w:bottom w:val="none" w:sz="0" w:space="0" w:color="auto"/>
            <w:right w:val="none" w:sz="0" w:space="0" w:color="auto"/>
          </w:divBdr>
        </w:div>
      </w:divsChild>
    </w:div>
    <w:div w:id="1100103911">
      <w:bodyDiv w:val="1"/>
      <w:marLeft w:val="0"/>
      <w:marRight w:val="0"/>
      <w:marTop w:val="0"/>
      <w:marBottom w:val="0"/>
      <w:divBdr>
        <w:top w:val="none" w:sz="0" w:space="0" w:color="auto"/>
        <w:left w:val="none" w:sz="0" w:space="0" w:color="auto"/>
        <w:bottom w:val="none" w:sz="0" w:space="0" w:color="auto"/>
        <w:right w:val="none" w:sz="0" w:space="0" w:color="auto"/>
      </w:divBdr>
      <w:divsChild>
        <w:div w:id="55324022">
          <w:marLeft w:val="0"/>
          <w:marRight w:val="0"/>
          <w:marTop w:val="0"/>
          <w:marBottom w:val="0"/>
          <w:divBdr>
            <w:top w:val="none" w:sz="0" w:space="0" w:color="auto"/>
            <w:left w:val="none" w:sz="0" w:space="0" w:color="auto"/>
            <w:bottom w:val="none" w:sz="0" w:space="0" w:color="auto"/>
            <w:right w:val="none" w:sz="0" w:space="0" w:color="auto"/>
          </w:divBdr>
        </w:div>
        <w:div w:id="781459296">
          <w:marLeft w:val="0"/>
          <w:marRight w:val="0"/>
          <w:marTop w:val="0"/>
          <w:marBottom w:val="0"/>
          <w:divBdr>
            <w:top w:val="none" w:sz="0" w:space="0" w:color="auto"/>
            <w:left w:val="none" w:sz="0" w:space="0" w:color="auto"/>
            <w:bottom w:val="none" w:sz="0" w:space="0" w:color="auto"/>
            <w:right w:val="none" w:sz="0" w:space="0" w:color="auto"/>
          </w:divBdr>
        </w:div>
      </w:divsChild>
    </w:div>
    <w:div w:id="1167283574">
      <w:bodyDiv w:val="1"/>
      <w:marLeft w:val="0"/>
      <w:marRight w:val="0"/>
      <w:marTop w:val="0"/>
      <w:marBottom w:val="0"/>
      <w:divBdr>
        <w:top w:val="none" w:sz="0" w:space="0" w:color="auto"/>
        <w:left w:val="none" w:sz="0" w:space="0" w:color="auto"/>
        <w:bottom w:val="none" w:sz="0" w:space="0" w:color="auto"/>
        <w:right w:val="none" w:sz="0" w:space="0" w:color="auto"/>
      </w:divBdr>
      <w:divsChild>
        <w:div w:id="1991447543">
          <w:marLeft w:val="0"/>
          <w:marRight w:val="0"/>
          <w:marTop w:val="0"/>
          <w:marBottom w:val="0"/>
          <w:divBdr>
            <w:top w:val="none" w:sz="0" w:space="0" w:color="auto"/>
            <w:left w:val="none" w:sz="0" w:space="0" w:color="auto"/>
            <w:bottom w:val="none" w:sz="0" w:space="0" w:color="auto"/>
            <w:right w:val="none" w:sz="0" w:space="0" w:color="auto"/>
          </w:divBdr>
        </w:div>
        <w:div w:id="196704466">
          <w:marLeft w:val="0"/>
          <w:marRight w:val="0"/>
          <w:marTop w:val="0"/>
          <w:marBottom w:val="0"/>
          <w:divBdr>
            <w:top w:val="none" w:sz="0" w:space="0" w:color="auto"/>
            <w:left w:val="none" w:sz="0" w:space="0" w:color="auto"/>
            <w:bottom w:val="none" w:sz="0" w:space="0" w:color="auto"/>
            <w:right w:val="none" w:sz="0" w:space="0" w:color="auto"/>
          </w:divBdr>
        </w:div>
      </w:divsChild>
    </w:div>
    <w:div w:id="1504934880">
      <w:bodyDiv w:val="1"/>
      <w:marLeft w:val="0"/>
      <w:marRight w:val="0"/>
      <w:marTop w:val="0"/>
      <w:marBottom w:val="0"/>
      <w:divBdr>
        <w:top w:val="none" w:sz="0" w:space="0" w:color="auto"/>
        <w:left w:val="none" w:sz="0" w:space="0" w:color="auto"/>
        <w:bottom w:val="none" w:sz="0" w:space="0" w:color="auto"/>
        <w:right w:val="none" w:sz="0" w:space="0" w:color="auto"/>
      </w:divBdr>
      <w:divsChild>
        <w:div w:id="700788317">
          <w:marLeft w:val="0"/>
          <w:marRight w:val="0"/>
          <w:marTop w:val="0"/>
          <w:marBottom w:val="0"/>
          <w:divBdr>
            <w:top w:val="none" w:sz="0" w:space="0" w:color="auto"/>
            <w:left w:val="none" w:sz="0" w:space="0" w:color="auto"/>
            <w:bottom w:val="none" w:sz="0" w:space="0" w:color="auto"/>
            <w:right w:val="none" w:sz="0" w:space="0" w:color="auto"/>
          </w:divBdr>
        </w:div>
        <w:div w:id="737244949">
          <w:marLeft w:val="0"/>
          <w:marRight w:val="0"/>
          <w:marTop w:val="0"/>
          <w:marBottom w:val="0"/>
          <w:divBdr>
            <w:top w:val="none" w:sz="0" w:space="0" w:color="auto"/>
            <w:left w:val="none" w:sz="0" w:space="0" w:color="auto"/>
            <w:bottom w:val="none" w:sz="0" w:space="0" w:color="auto"/>
            <w:right w:val="none" w:sz="0" w:space="0" w:color="auto"/>
          </w:divBdr>
        </w:div>
        <w:div w:id="439447829">
          <w:marLeft w:val="0"/>
          <w:marRight w:val="0"/>
          <w:marTop w:val="0"/>
          <w:marBottom w:val="0"/>
          <w:divBdr>
            <w:top w:val="none" w:sz="0" w:space="0" w:color="auto"/>
            <w:left w:val="none" w:sz="0" w:space="0" w:color="auto"/>
            <w:bottom w:val="none" w:sz="0" w:space="0" w:color="auto"/>
            <w:right w:val="none" w:sz="0" w:space="0" w:color="auto"/>
          </w:divBdr>
        </w:div>
      </w:divsChild>
    </w:div>
    <w:div w:id="1824202597">
      <w:bodyDiv w:val="1"/>
      <w:marLeft w:val="0"/>
      <w:marRight w:val="0"/>
      <w:marTop w:val="0"/>
      <w:marBottom w:val="0"/>
      <w:divBdr>
        <w:top w:val="none" w:sz="0" w:space="0" w:color="auto"/>
        <w:left w:val="none" w:sz="0" w:space="0" w:color="auto"/>
        <w:bottom w:val="none" w:sz="0" w:space="0" w:color="auto"/>
        <w:right w:val="none" w:sz="0" w:space="0" w:color="auto"/>
      </w:divBdr>
      <w:divsChild>
        <w:div w:id="1971784819">
          <w:marLeft w:val="0"/>
          <w:marRight w:val="0"/>
          <w:marTop w:val="0"/>
          <w:marBottom w:val="0"/>
          <w:divBdr>
            <w:top w:val="none" w:sz="0" w:space="0" w:color="auto"/>
            <w:left w:val="none" w:sz="0" w:space="0" w:color="auto"/>
            <w:bottom w:val="none" w:sz="0" w:space="0" w:color="auto"/>
            <w:right w:val="none" w:sz="0" w:space="0" w:color="auto"/>
          </w:divBdr>
        </w:div>
        <w:div w:id="452486359">
          <w:marLeft w:val="0"/>
          <w:marRight w:val="0"/>
          <w:marTop w:val="0"/>
          <w:marBottom w:val="0"/>
          <w:divBdr>
            <w:top w:val="none" w:sz="0" w:space="0" w:color="auto"/>
            <w:left w:val="none" w:sz="0" w:space="0" w:color="auto"/>
            <w:bottom w:val="none" w:sz="0" w:space="0" w:color="auto"/>
            <w:right w:val="none" w:sz="0" w:space="0" w:color="auto"/>
          </w:divBdr>
        </w:div>
        <w:div w:id="615986339">
          <w:marLeft w:val="0"/>
          <w:marRight w:val="0"/>
          <w:marTop w:val="0"/>
          <w:marBottom w:val="0"/>
          <w:divBdr>
            <w:top w:val="none" w:sz="0" w:space="0" w:color="auto"/>
            <w:left w:val="none" w:sz="0" w:space="0" w:color="auto"/>
            <w:bottom w:val="none" w:sz="0" w:space="0" w:color="auto"/>
            <w:right w:val="none" w:sz="0" w:space="0" w:color="auto"/>
          </w:divBdr>
        </w:div>
        <w:div w:id="1803764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nsumerreports.org/cro/food/how-safe-is-your-ground-bee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ncbi.nlm.nih.gov/pubmed/22903925" TargetMode="External"/><Relationship Id="rId2" Type="http://schemas.openxmlformats.org/officeDocument/2006/relationships/hyperlink" Target="http://www.thedairysite.com/articles/3046/antibiotic-use-in-food-animals/" TargetMode="External"/><Relationship Id="rId1" Type="http://schemas.openxmlformats.org/officeDocument/2006/relationships/hyperlink" Target="http://m.thepigsite.com/news/39914" TargetMode="External"/><Relationship Id="rId4" Type="http://schemas.openxmlformats.org/officeDocument/2006/relationships/hyperlink" Target="http://www.ncbi.nlm.nih.gov/pubmed/2498313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BD9832-807B-4405-B1BA-82FEDAC353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3</Pages>
  <Words>1466</Words>
  <Characters>8359</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rose</dc:creator>
  <cp:keywords/>
  <dc:description/>
  <cp:lastModifiedBy>emma rose</cp:lastModifiedBy>
  <cp:revision>24</cp:revision>
  <dcterms:created xsi:type="dcterms:W3CDTF">2015-09-18T15:41:00Z</dcterms:created>
  <dcterms:modified xsi:type="dcterms:W3CDTF">2016-07-26T11:21:00Z</dcterms:modified>
</cp:coreProperties>
</file>